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A1F02DA"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30C1D">
        <w:rPr>
          <w:sz w:val="16"/>
          <w:szCs w:val="16"/>
        </w:rPr>
        <w:t xml:space="preserve">DOUCEUR EXOTIQUE </w:t>
      </w:r>
      <w:r w:rsidR="00BF243C">
        <w:rPr>
          <w:sz w:val="16"/>
          <w:szCs w:val="16"/>
        </w:rPr>
        <w:t>7</w:t>
      </w:r>
      <w:r w:rsidRPr="003011F5">
        <w:rPr>
          <w:spacing w:val="-2"/>
          <w:sz w:val="16"/>
          <w:szCs w:val="16"/>
        </w:rPr>
        <w:t>% en base non dangereuse</w:t>
      </w:r>
    </w:p>
    <w:p w14:paraId="05C9F6DA" w14:textId="6FFCE35E"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2464F9">
        <w:rPr>
          <w:spacing w:val="-2"/>
          <w:sz w:val="16"/>
          <w:szCs w:val="16"/>
        </w:rPr>
        <w:t>4</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41AED0BC" w:rsidR="003C6023" w:rsidRPr="002B62EB" w:rsidRDefault="00630C1D" w:rsidP="00461CD7">
            <w:pPr>
              <w:rPr>
                <w:sz w:val="16"/>
                <w:szCs w:val="16"/>
              </w:rPr>
            </w:pPr>
            <w:r>
              <w:rPr>
                <w:sz w:val="16"/>
                <w:szCs w:val="16"/>
              </w:rPr>
              <w:t>Non classé</w:t>
            </w:r>
          </w:p>
        </w:tc>
        <w:tc>
          <w:tcPr>
            <w:tcW w:w="2404" w:type="dxa"/>
          </w:tcPr>
          <w:p w14:paraId="52CEE4B6" w14:textId="7D151103"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116353D" w:rsidR="003C6023" w:rsidRDefault="00630C1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3A7F2A9" w:rsidR="00B520DF" w:rsidRPr="00630C1D" w:rsidRDefault="00B520DF" w:rsidP="00630C1D">
      <w:pPr>
        <w:ind w:left="-567"/>
        <w:rPr>
          <w:sz w:val="16"/>
          <w:szCs w:val="16"/>
        </w:rPr>
      </w:pPr>
      <w:r w:rsidRPr="00630C1D">
        <w:rPr>
          <w:b/>
          <w:bCs/>
          <w:sz w:val="16"/>
          <w:szCs w:val="16"/>
        </w:rPr>
        <w:t>EUH208</w:t>
      </w:r>
      <w:r w:rsidRPr="00630C1D">
        <w:rPr>
          <w:sz w:val="16"/>
          <w:szCs w:val="16"/>
        </w:rPr>
        <w:t xml:space="preserve"> Contient :</w:t>
      </w:r>
      <w:r w:rsidR="00630C1D" w:rsidRPr="00630C1D">
        <w:rPr>
          <w:sz w:val="16"/>
          <w:szCs w:val="16"/>
        </w:rPr>
        <w:t xml:space="preserve"> </w:t>
      </w:r>
      <w:r w:rsidR="00630C1D" w:rsidRPr="00630C1D">
        <w:rPr>
          <w:sz w:val="16"/>
          <w:szCs w:val="16"/>
        </w:rPr>
        <w:t>1-(1,2,3,4,5,6,7,8-Octahydro-2,3,8,8-tetramethyl-2-naphthalenyl)</w:t>
      </w:r>
      <w:r w:rsidR="00630C1D" w:rsidRPr="00630C1D">
        <w:rPr>
          <w:sz w:val="16"/>
          <w:szCs w:val="16"/>
        </w:rPr>
        <w:t xml:space="preserve">ethenone, </w:t>
      </w:r>
      <w:r w:rsidR="00630C1D" w:rsidRPr="00630C1D">
        <w:rPr>
          <w:sz w:val="16"/>
          <w:szCs w:val="16"/>
          <w:lang w:val="fr-BE"/>
        </w:rPr>
        <w:t>Hexyl cinnamic aldehyde</w:t>
      </w:r>
      <w:r w:rsidR="0018508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630C1D" w:rsidRPr="00630C1D" w14:paraId="0AE821F3" w14:textId="77777777" w:rsidTr="003E25EE">
        <w:trPr>
          <w:trHeight w:val="994"/>
        </w:trPr>
        <w:tc>
          <w:tcPr>
            <w:tcW w:w="2500" w:type="dxa"/>
          </w:tcPr>
          <w:p w14:paraId="02E26780" w14:textId="5792034A" w:rsidR="00630C1D" w:rsidRPr="00630C1D" w:rsidRDefault="00630C1D" w:rsidP="00630C1D">
            <w:pPr>
              <w:rPr>
                <w:sz w:val="16"/>
                <w:szCs w:val="16"/>
                <w:lang w:val="fr-BE"/>
              </w:rPr>
            </w:pPr>
            <w:r w:rsidRPr="00630C1D">
              <w:rPr>
                <w:sz w:val="16"/>
                <w:szCs w:val="16"/>
                <w:lang w:val="fr-BE"/>
              </w:rPr>
              <w:t>1-(1,2,3,4,5,6,7,8-Octahydro-2,3,8,8-tetramethyl-2-naphthalenyl)ethanone</w:t>
            </w:r>
            <w:r w:rsidRPr="00630C1D">
              <w:rPr>
                <w:sz w:val="16"/>
                <w:szCs w:val="16"/>
                <w:lang w:val="fr-BE"/>
              </w:rPr>
              <w:tab/>
            </w:r>
          </w:p>
          <w:p w14:paraId="5FE09BBC" w14:textId="2B4D2F66" w:rsidR="00630C1D" w:rsidRPr="00630C1D" w:rsidRDefault="00630C1D" w:rsidP="00630C1D">
            <w:pPr>
              <w:rPr>
                <w:sz w:val="16"/>
                <w:szCs w:val="16"/>
                <w:lang w:val="en-US"/>
              </w:rPr>
            </w:pPr>
            <w:r w:rsidRPr="00630C1D">
              <w:rPr>
                <w:sz w:val="16"/>
                <w:szCs w:val="16"/>
                <w:lang w:val="fr-BE"/>
              </w:rPr>
              <w:tab/>
            </w:r>
            <w:r w:rsidRPr="00630C1D">
              <w:rPr>
                <w:sz w:val="16"/>
                <w:szCs w:val="16"/>
                <w:lang w:val="fr-BE"/>
              </w:rPr>
              <w:tab/>
            </w:r>
          </w:p>
          <w:p w14:paraId="2F39CF6B" w14:textId="5974E77F" w:rsidR="00630C1D" w:rsidRPr="00630C1D" w:rsidRDefault="00630C1D" w:rsidP="00630C1D">
            <w:pPr>
              <w:rPr>
                <w:sz w:val="16"/>
                <w:szCs w:val="16"/>
                <w:lang w:val="en-US"/>
              </w:rPr>
            </w:pPr>
          </w:p>
        </w:tc>
        <w:tc>
          <w:tcPr>
            <w:tcW w:w="2740" w:type="dxa"/>
          </w:tcPr>
          <w:p w14:paraId="6AF2FA21" w14:textId="77777777" w:rsidR="00630C1D" w:rsidRPr="00630C1D" w:rsidRDefault="00630C1D" w:rsidP="00630C1D">
            <w:pPr>
              <w:rPr>
                <w:sz w:val="16"/>
                <w:szCs w:val="16"/>
                <w:lang w:val="fr-BE"/>
              </w:rPr>
            </w:pPr>
            <w:r w:rsidRPr="00630C1D">
              <w:rPr>
                <w:sz w:val="16"/>
                <w:szCs w:val="16"/>
                <w:lang w:val="fr-BE"/>
              </w:rPr>
              <w:t>N° CAS: 54464-57-2</w:t>
            </w:r>
          </w:p>
          <w:p w14:paraId="0672B270" w14:textId="77777777" w:rsidR="00630C1D" w:rsidRPr="00630C1D" w:rsidRDefault="00630C1D" w:rsidP="00630C1D">
            <w:pPr>
              <w:rPr>
                <w:sz w:val="16"/>
                <w:szCs w:val="16"/>
                <w:lang w:val="fr-BE"/>
              </w:rPr>
            </w:pPr>
            <w:r w:rsidRPr="00630C1D">
              <w:rPr>
                <w:sz w:val="16"/>
                <w:szCs w:val="16"/>
                <w:lang w:val="fr-BE"/>
              </w:rPr>
              <w:t>N° CE: 259-174-3</w:t>
            </w:r>
          </w:p>
          <w:p w14:paraId="57D6FBB5" w14:textId="6EFAEC6E" w:rsidR="00630C1D" w:rsidRPr="00630C1D" w:rsidRDefault="00630C1D" w:rsidP="00630C1D">
            <w:pPr>
              <w:rPr>
                <w:sz w:val="16"/>
                <w:szCs w:val="16"/>
                <w:lang w:val="fr-BE"/>
              </w:rPr>
            </w:pPr>
            <w:r w:rsidRPr="00630C1D">
              <w:rPr>
                <w:sz w:val="16"/>
                <w:szCs w:val="16"/>
                <w:lang w:val="fr-BE"/>
              </w:rPr>
              <w:t>N° REACH: 01-2119489989-</w:t>
            </w:r>
            <w:r w:rsidRPr="00630C1D">
              <w:rPr>
                <w:sz w:val="16"/>
                <w:szCs w:val="16"/>
                <w:lang w:val="en-US"/>
              </w:rPr>
              <w:t>04</w:t>
            </w:r>
          </w:p>
        </w:tc>
        <w:tc>
          <w:tcPr>
            <w:tcW w:w="1418" w:type="dxa"/>
          </w:tcPr>
          <w:p w14:paraId="6D8345AA" w14:textId="09EF1BAB" w:rsidR="00630C1D" w:rsidRDefault="00630C1D" w:rsidP="00F07D40">
            <w:pPr>
              <w:jc w:val="center"/>
              <w:rPr>
                <w:sz w:val="16"/>
                <w:szCs w:val="16"/>
                <w:lang w:val="en-US"/>
              </w:rPr>
            </w:pPr>
            <w:r>
              <w:rPr>
                <w:sz w:val="16"/>
                <w:szCs w:val="16"/>
                <w:lang w:val="en-US"/>
              </w:rPr>
              <w:t>0.</w:t>
            </w:r>
            <w:r w:rsidR="001E34A1">
              <w:rPr>
                <w:sz w:val="16"/>
                <w:szCs w:val="16"/>
                <w:lang w:val="en-US"/>
              </w:rPr>
              <w:t>07</w:t>
            </w:r>
            <w:r>
              <w:rPr>
                <w:sz w:val="16"/>
                <w:szCs w:val="16"/>
                <w:lang w:val="en-US"/>
              </w:rPr>
              <w:t>-0.</w:t>
            </w:r>
            <w:r w:rsidR="001E34A1">
              <w:rPr>
                <w:sz w:val="16"/>
                <w:szCs w:val="16"/>
                <w:lang w:val="en-US"/>
              </w:rPr>
              <w:t>14</w:t>
            </w:r>
          </w:p>
        </w:tc>
        <w:tc>
          <w:tcPr>
            <w:tcW w:w="2976" w:type="dxa"/>
          </w:tcPr>
          <w:p w14:paraId="5DCDE7C5" w14:textId="77777777" w:rsidR="00630C1D" w:rsidRDefault="00630C1D" w:rsidP="00630C1D">
            <w:pPr>
              <w:rPr>
                <w:sz w:val="16"/>
                <w:szCs w:val="16"/>
                <w:lang w:val="fr-BE"/>
              </w:rPr>
            </w:pPr>
            <w:r w:rsidRPr="00630C1D">
              <w:rPr>
                <w:sz w:val="16"/>
                <w:szCs w:val="16"/>
                <w:lang w:val="fr-BE"/>
              </w:rPr>
              <w:t xml:space="preserve">Skin Irrit. 2, H315 </w:t>
            </w:r>
          </w:p>
          <w:p w14:paraId="6EEFA5EE" w14:textId="55F2C720" w:rsidR="00630C1D" w:rsidRPr="00630C1D" w:rsidRDefault="00630C1D" w:rsidP="00630C1D">
            <w:pPr>
              <w:rPr>
                <w:sz w:val="16"/>
                <w:szCs w:val="16"/>
                <w:lang w:val="fr-BE"/>
              </w:rPr>
            </w:pPr>
            <w:r w:rsidRPr="00630C1D">
              <w:rPr>
                <w:sz w:val="16"/>
                <w:szCs w:val="16"/>
                <w:lang w:val="fr-BE"/>
              </w:rPr>
              <w:t>Skin Sens. 1, H317</w:t>
            </w:r>
          </w:p>
          <w:p w14:paraId="60146EB6" w14:textId="7ABD9464" w:rsidR="00630C1D" w:rsidRPr="00630C1D" w:rsidRDefault="00630C1D" w:rsidP="00630C1D">
            <w:pPr>
              <w:rPr>
                <w:sz w:val="16"/>
                <w:szCs w:val="16"/>
                <w:lang w:val="en-US"/>
              </w:rPr>
            </w:pPr>
            <w:r w:rsidRPr="00630C1D">
              <w:rPr>
                <w:sz w:val="16"/>
                <w:szCs w:val="16"/>
                <w:lang w:val="en-US"/>
              </w:rPr>
              <w:t>Aquatic Chronic 1, H410</w:t>
            </w:r>
          </w:p>
        </w:tc>
      </w:tr>
      <w:tr w:rsidR="00630C1D" w:rsidRPr="00630C1D" w14:paraId="5EB01C6C" w14:textId="77777777" w:rsidTr="009C1DDA">
        <w:trPr>
          <w:trHeight w:val="994"/>
        </w:trPr>
        <w:tc>
          <w:tcPr>
            <w:tcW w:w="2500" w:type="dxa"/>
          </w:tcPr>
          <w:p w14:paraId="0E9D160D" w14:textId="77777777" w:rsidR="00630C1D" w:rsidRPr="00F10F70" w:rsidRDefault="00630C1D" w:rsidP="009C1DDA">
            <w:pPr>
              <w:rPr>
                <w:sz w:val="16"/>
                <w:szCs w:val="16"/>
                <w:lang w:val="fr-BE"/>
              </w:rPr>
            </w:pPr>
            <w:r w:rsidRPr="00F10F70">
              <w:rPr>
                <w:sz w:val="16"/>
                <w:szCs w:val="16"/>
                <w:lang w:val="fr-BE"/>
              </w:rPr>
              <w:t>Hexyl cinnamic aldehyde</w:t>
            </w:r>
          </w:p>
          <w:p w14:paraId="3B63B163" w14:textId="77777777" w:rsidR="00630C1D" w:rsidRPr="00F10F70" w:rsidRDefault="00630C1D" w:rsidP="009C1DDA">
            <w:pPr>
              <w:rPr>
                <w:sz w:val="16"/>
                <w:szCs w:val="16"/>
                <w:lang w:val="en-US"/>
              </w:rPr>
            </w:pPr>
          </w:p>
        </w:tc>
        <w:tc>
          <w:tcPr>
            <w:tcW w:w="2740" w:type="dxa"/>
          </w:tcPr>
          <w:p w14:paraId="7A98F36F" w14:textId="77777777" w:rsidR="00630C1D" w:rsidRPr="00F10F70" w:rsidRDefault="00630C1D" w:rsidP="009C1DDA">
            <w:pPr>
              <w:rPr>
                <w:sz w:val="16"/>
                <w:szCs w:val="16"/>
                <w:lang w:val="fr-BE"/>
              </w:rPr>
            </w:pPr>
            <w:r w:rsidRPr="00F10F70">
              <w:rPr>
                <w:sz w:val="16"/>
                <w:szCs w:val="16"/>
                <w:lang w:val="fr-BE"/>
              </w:rPr>
              <w:t>N° CAS: 101-86-0</w:t>
            </w:r>
          </w:p>
          <w:p w14:paraId="58BFECAC" w14:textId="77777777" w:rsidR="00630C1D" w:rsidRPr="00F10F70" w:rsidRDefault="00630C1D" w:rsidP="009C1DDA">
            <w:pPr>
              <w:rPr>
                <w:sz w:val="16"/>
                <w:szCs w:val="16"/>
                <w:lang w:val="fr-BE"/>
              </w:rPr>
            </w:pPr>
            <w:r w:rsidRPr="00F10F70">
              <w:rPr>
                <w:sz w:val="16"/>
                <w:szCs w:val="16"/>
                <w:lang w:val="fr-BE"/>
              </w:rPr>
              <w:t>N° CE: 202-983-3</w:t>
            </w:r>
          </w:p>
          <w:p w14:paraId="55E76C5B" w14:textId="77777777" w:rsidR="00630C1D" w:rsidRPr="000440C3" w:rsidRDefault="00630C1D" w:rsidP="009C1DDA">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2A34D226" w14:textId="3DF4B30A" w:rsidR="00630C1D" w:rsidRDefault="00630C1D" w:rsidP="009C1DDA">
            <w:pPr>
              <w:jc w:val="center"/>
              <w:rPr>
                <w:sz w:val="16"/>
                <w:szCs w:val="16"/>
                <w:lang w:val="en-US"/>
              </w:rPr>
            </w:pPr>
            <w:r>
              <w:rPr>
                <w:sz w:val="16"/>
                <w:szCs w:val="16"/>
                <w:lang w:val="en-US"/>
              </w:rPr>
              <w:t>0.</w:t>
            </w:r>
            <w:r w:rsidR="001E34A1">
              <w:rPr>
                <w:sz w:val="16"/>
                <w:szCs w:val="16"/>
                <w:lang w:val="en-US"/>
              </w:rPr>
              <w:t>07</w:t>
            </w:r>
            <w:r>
              <w:rPr>
                <w:sz w:val="16"/>
                <w:szCs w:val="16"/>
                <w:lang w:val="en-US"/>
              </w:rPr>
              <w:t>-0.</w:t>
            </w:r>
            <w:r w:rsidR="001E34A1">
              <w:rPr>
                <w:sz w:val="16"/>
                <w:szCs w:val="16"/>
                <w:lang w:val="en-US"/>
              </w:rPr>
              <w:t>14</w:t>
            </w:r>
          </w:p>
        </w:tc>
        <w:tc>
          <w:tcPr>
            <w:tcW w:w="2976" w:type="dxa"/>
          </w:tcPr>
          <w:p w14:paraId="476ED5A5" w14:textId="77777777" w:rsidR="00630C1D" w:rsidRDefault="00630C1D" w:rsidP="009C1DDA">
            <w:pPr>
              <w:rPr>
                <w:sz w:val="16"/>
                <w:szCs w:val="16"/>
                <w:lang w:val="en-US"/>
              </w:rPr>
            </w:pPr>
            <w:r w:rsidRPr="00F10F70">
              <w:rPr>
                <w:sz w:val="16"/>
                <w:szCs w:val="16"/>
                <w:lang w:val="en-US"/>
              </w:rPr>
              <w:t xml:space="preserve">Skin Sens. 1, H317 </w:t>
            </w:r>
          </w:p>
          <w:p w14:paraId="0206EC9E" w14:textId="77777777" w:rsidR="00630C1D" w:rsidRPr="00F10F70" w:rsidRDefault="00630C1D" w:rsidP="009C1DDA">
            <w:pPr>
              <w:rPr>
                <w:sz w:val="16"/>
                <w:szCs w:val="16"/>
                <w:lang w:val="en-US"/>
              </w:rPr>
            </w:pPr>
            <w:r w:rsidRPr="00F10F70">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lastRenderedPageBreak/>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lastRenderedPageBreak/>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4870730E" w:rsidR="00127F22" w:rsidRDefault="00BF765C" w:rsidP="00B520DF">
            <w:pPr>
              <w:rPr>
                <w:sz w:val="16"/>
                <w:szCs w:val="16"/>
              </w:rPr>
            </w:pPr>
            <w:r>
              <w:rPr>
                <w:sz w:val="16"/>
                <w:szCs w:val="16"/>
              </w:rPr>
              <w:t xml:space="preserve">: </w:t>
            </w:r>
            <w:r w:rsidR="00127F22">
              <w:rPr>
                <w:sz w:val="16"/>
                <w:szCs w:val="16"/>
              </w:rPr>
              <w:t>&gt;</w:t>
            </w:r>
            <w:r w:rsidR="003D7399">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054537B3"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630C1D" w:rsidRPr="00630C1D">
        <w:rPr>
          <w:sz w:val="16"/>
          <w:szCs w:val="16"/>
        </w:rPr>
        <w:t>1,22228375 %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0E1EB57B" w:rsidR="00420A15" w:rsidRDefault="00420A15" w:rsidP="00B520DF">
            <w:pPr>
              <w:rPr>
                <w:sz w:val="16"/>
                <w:szCs w:val="16"/>
              </w:rPr>
            </w:pPr>
            <w:r>
              <w:rPr>
                <w:sz w:val="16"/>
                <w:szCs w:val="16"/>
              </w:rPr>
              <w:t xml:space="preserve">: </w:t>
            </w:r>
            <w:r w:rsidR="00630C1D">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4180035" w:rsidR="00A53721" w:rsidRDefault="00A53721" w:rsidP="00B520DF">
            <w:pPr>
              <w:rPr>
                <w:sz w:val="16"/>
                <w:szCs w:val="16"/>
              </w:rPr>
            </w:pPr>
            <w:r w:rsidRPr="00A53721">
              <w:rPr>
                <w:sz w:val="16"/>
                <w:szCs w:val="16"/>
              </w:rPr>
              <w:t xml:space="preserve">: </w:t>
            </w:r>
            <w:r w:rsidR="00630C1D">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lastRenderedPageBreak/>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D95F829" w:rsidR="00AE2DF0" w:rsidRPr="00EE02F2" w:rsidRDefault="006556F2" w:rsidP="00EE02F2">
      <w:pPr>
        <w:ind w:left="-567"/>
        <w:rPr>
          <w:sz w:val="16"/>
          <w:szCs w:val="16"/>
        </w:rPr>
      </w:pPr>
      <w:r>
        <w:rPr>
          <w:sz w:val="16"/>
          <w:szCs w:val="16"/>
        </w:rPr>
        <w:t xml:space="preserve">WGK : </w:t>
      </w:r>
      <w:r w:rsidR="00630C1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2F40A744" w14:textId="04AB2C9E" w:rsidR="00630C1D" w:rsidRPr="00630C1D" w:rsidRDefault="00630C1D" w:rsidP="00630C1D">
            <w:pPr>
              <w:spacing w:before="57" w:line="288" w:lineRule="auto"/>
              <w:ind w:left="56" w:right="18"/>
              <w:rPr>
                <w:bCs/>
                <w:sz w:val="16"/>
                <w:szCs w:val="16"/>
              </w:rPr>
            </w:pPr>
            <w:r w:rsidRPr="00630C1D">
              <w:rPr>
                <w:bCs/>
                <w:sz w:val="16"/>
                <w:szCs w:val="16"/>
              </w:rPr>
              <w:t>DOUCEUR EXOTIQUE BEL144; 1-(1,2,3,4,5,6,7,8-</w:t>
            </w:r>
          </w:p>
          <w:p w14:paraId="034B6987" w14:textId="5E5DA31C" w:rsidR="00167055" w:rsidRPr="007207E9" w:rsidRDefault="00630C1D" w:rsidP="00630C1D">
            <w:pPr>
              <w:spacing w:before="57" w:line="288" w:lineRule="auto"/>
              <w:ind w:left="56" w:right="18"/>
              <w:rPr>
                <w:b/>
                <w:color w:val="0070C0"/>
                <w:sz w:val="16"/>
                <w:szCs w:val="16"/>
              </w:rPr>
            </w:pPr>
            <w:r w:rsidRPr="00630C1D">
              <w:rPr>
                <w:bCs/>
                <w:sz w:val="16"/>
                <w:szCs w:val="16"/>
              </w:rPr>
              <w:t>Octahydro-2,3,8,8-tetramethyl-2-naphthalenyl)ethanone ; Hexyl cinnamic aldehyde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538950B" w14:textId="2B696096" w:rsidR="00630C1D" w:rsidRPr="00630C1D" w:rsidRDefault="00630C1D" w:rsidP="00630C1D">
            <w:pPr>
              <w:spacing w:before="57" w:line="288" w:lineRule="auto"/>
              <w:ind w:left="56" w:right="18"/>
              <w:rPr>
                <w:sz w:val="16"/>
              </w:rPr>
            </w:pPr>
            <w:r w:rsidRPr="00630C1D">
              <w:rPr>
                <w:sz w:val="16"/>
              </w:rPr>
              <w:t>DOUCEUR EXOTIQUE BEL144 ; Ethylene brassylate ; 1-(1,2,3,4,5,6,7,8-</w:t>
            </w:r>
          </w:p>
          <w:p w14:paraId="656711DD" w14:textId="36BA7D65" w:rsidR="00E316A5" w:rsidRPr="00D0346A" w:rsidRDefault="00630C1D" w:rsidP="00630C1D">
            <w:pPr>
              <w:spacing w:before="57" w:line="288" w:lineRule="auto"/>
              <w:ind w:left="56" w:right="18"/>
              <w:rPr>
                <w:sz w:val="16"/>
              </w:rPr>
            </w:pPr>
            <w:r w:rsidRPr="00630C1D">
              <w:rPr>
                <w:sz w:val="16"/>
              </w:rPr>
              <w:t>Octahydro-2,3,8,8-tetramethyl-2-naphthalenyl)ethanone ; Hexyl cinnamic aldehyde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lastRenderedPageBreak/>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13D8" w14:textId="77777777" w:rsidR="009277F6" w:rsidRDefault="009277F6" w:rsidP="001F4281">
      <w:r>
        <w:separator/>
      </w:r>
    </w:p>
  </w:endnote>
  <w:endnote w:type="continuationSeparator" w:id="0">
    <w:p w14:paraId="4B8119EE" w14:textId="77777777" w:rsidR="009277F6" w:rsidRDefault="009277F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FF0417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630C1D">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CED4" w14:textId="77777777" w:rsidR="009277F6" w:rsidRDefault="009277F6" w:rsidP="001F4281">
      <w:r>
        <w:separator/>
      </w:r>
    </w:p>
  </w:footnote>
  <w:footnote w:type="continuationSeparator" w:id="0">
    <w:p w14:paraId="3617238A" w14:textId="77777777" w:rsidR="009277F6" w:rsidRDefault="009277F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057489FF" w:rsidR="00461CD7" w:rsidRDefault="00605324" w:rsidP="00461CD7">
    <w:pPr>
      <w:pStyle w:val="En-tte"/>
      <w:jc w:val="right"/>
      <w:rPr>
        <w:b/>
        <w:bCs/>
        <w:sz w:val="32"/>
        <w:szCs w:val="32"/>
      </w:rPr>
    </w:pPr>
    <w:r>
      <w:rPr>
        <w:b/>
        <w:bCs/>
        <w:sz w:val="16"/>
        <w:szCs w:val="16"/>
      </w:rPr>
      <w:t>1</w:t>
    </w:r>
    <w:r w:rsidR="009D2474">
      <w:rPr>
        <w:b/>
        <w:bCs/>
        <w:sz w:val="16"/>
        <w:szCs w:val="16"/>
      </w:rPr>
      <w:t>5</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7ECA4B6C" w:rsidR="001F4281" w:rsidRPr="001F4281" w:rsidRDefault="00630C1D" w:rsidP="00461CD7">
    <w:pPr>
      <w:pStyle w:val="En-tte"/>
      <w:jc w:val="center"/>
      <w:rPr>
        <w:b/>
        <w:bCs/>
        <w:sz w:val="32"/>
        <w:szCs w:val="32"/>
      </w:rPr>
    </w:pPr>
    <w:r>
      <w:rPr>
        <w:b/>
        <w:bCs/>
        <w:sz w:val="32"/>
        <w:szCs w:val="32"/>
      </w:rPr>
      <w:t xml:space="preserve">DOUCEUR EXOTIQUE </w:t>
    </w:r>
    <w:r w:rsidR="00BF243C">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E34A1"/>
    <w:rsid w:val="001F377B"/>
    <w:rsid w:val="001F4281"/>
    <w:rsid w:val="002055FE"/>
    <w:rsid w:val="0021534F"/>
    <w:rsid w:val="0021618C"/>
    <w:rsid w:val="00223581"/>
    <w:rsid w:val="00231E72"/>
    <w:rsid w:val="002464F9"/>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277F6"/>
    <w:rsid w:val="0099787B"/>
    <w:rsid w:val="009C5D8C"/>
    <w:rsid w:val="009D2474"/>
    <w:rsid w:val="00A07794"/>
    <w:rsid w:val="00A53721"/>
    <w:rsid w:val="00A567DE"/>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243C"/>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14118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2026-06-15T16:01:00Z</dcterms:created>
  <dcterms:modified xsi:type="dcterms:W3CDTF">2026-06-15T16:02:00Z</dcterms:modified>
</cp:coreProperties>
</file>