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6725BB5"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D797E">
        <w:rPr>
          <w:sz w:val="16"/>
          <w:szCs w:val="16"/>
        </w:rPr>
        <w:t>FREESIA</w:t>
      </w:r>
      <w:r w:rsidRPr="003011F5">
        <w:rPr>
          <w:sz w:val="16"/>
          <w:szCs w:val="16"/>
        </w:rPr>
        <w:t xml:space="preserve"> </w:t>
      </w:r>
      <w:r w:rsidR="00CE6008">
        <w:rPr>
          <w:sz w:val="16"/>
          <w:szCs w:val="16"/>
        </w:rPr>
        <w:t>7</w:t>
      </w:r>
      <w:r w:rsidRPr="003011F5">
        <w:rPr>
          <w:spacing w:val="-2"/>
          <w:sz w:val="16"/>
          <w:szCs w:val="16"/>
        </w:rPr>
        <w:t>% en base non dangereuse</w:t>
      </w:r>
    </w:p>
    <w:p w14:paraId="05C9F6DA" w14:textId="4305EC8C"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w:t>
      </w:r>
      <w:r w:rsidR="00CE6008">
        <w:rPr>
          <w:spacing w:val="-2"/>
          <w:sz w:val="16"/>
          <w:szCs w:val="16"/>
        </w:rPr>
        <w:t>8</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4BDF9AE5"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711548" w14:paraId="0A960B8D" w14:textId="77777777" w:rsidTr="002B62EB">
        <w:tc>
          <w:tcPr>
            <w:tcW w:w="6658" w:type="dxa"/>
          </w:tcPr>
          <w:p w14:paraId="72D08A48" w14:textId="2B99EC28" w:rsidR="00711548" w:rsidRPr="003C6023" w:rsidRDefault="00A83EB7" w:rsidP="003C6023">
            <w:pPr>
              <w:rPr>
                <w:sz w:val="16"/>
                <w:szCs w:val="16"/>
              </w:rPr>
            </w:pPr>
            <w:r>
              <w:rPr>
                <w:sz w:val="16"/>
                <w:szCs w:val="16"/>
              </w:rPr>
              <w:t>Non classé</w:t>
            </w:r>
          </w:p>
        </w:tc>
        <w:tc>
          <w:tcPr>
            <w:tcW w:w="2404" w:type="dxa"/>
          </w:tcPr>
          <w:p w14:paraId="4555E098" w14:textId="3E1E1121" w:rsidR="00711548" w:rsidRDefault="00711548" w:rsidP="00461CD7">
            <w:pPr>
              <w:rPr>
                <w:sz w:val="16"/>
                <w:szCs w:val="16"/>
              </w:rPr>
            </w:pPr>
          </w:p>
        </w:tc>
      </w:tr>
      <w:tr w:rsidR="003C6023" w14:paraId="6628FA40" w14:textId="77777777" w:rsidTr="002B62EB">
        <w:tc>
          <w:tcPr>
            <w:tcW w:w="6658" w:type="dxa"/>
          </w:tcPr>
          <w:p w14:paraId="7760ACB7" w14:textId="77777777" w:rsidR="003C6023" w:rsidRPr="002B62EB" w:rsidRDefault="003C6023" w:rsidP="00461CD7">
            <w:pPr>
              <w:rPr>
                <w:sz w:val="16"/>
                <w:szCs w:val="16"/>
              </w:rPr>
            </w:pPr>
          </w:p>
        </w:tc>
        <w:tc>
          <w:tcPr>
            <w:tcW w:w="2404" w:type="dxa"/>
          </w:tcPr>
          <w:p w14:paraId="52CEE4B6" w14:textId="3ACE3B9F"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E734532" w:rsidR="003C6023" w:rsidRDefault="00A83EB7"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5F917D2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A83EB7">
        <w:rPr>
          <w:sz w:val="16"/>
          <w:szCs w:val="16"/>
        </w:rPr>
        <w:t>--</w:t>
      </w:r>
    </w:p>
    <w:p w14:paraId="286D2E5F" w14:textId="1732608A" w:rsidR="002B62EB" w:rsidRDefault="002B62EB" w:rsidP="002B62EB">
      <w:pPr>
        <w:ind w:left="-567"/>
        <w:rPr>
          <w:sz w:val="16"/>
          <w:szCs w:val="16"/>
        </w:rPr>
      </w:pPr>
    </w:p>
    <w:p w14:paraId="7F98C946" w14:textId="5DD38C93"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28DD4453"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83EB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E3B2C" w14:paraId="4A629D8D" w14:textId="77777777" w:rsidTr="00EE23C2">
        <w:tc>
          <w:tcPr>
            <w:tcW w:w="1129" w:type="dxa"/>
          </w:tcPr>
          <w:p w14:paraId="437A103F" w14:textId="420A774A" w:rsidR="000E3B2C" w:rsidRDefault="00A83EB7" w:rsidP="002B62EB">
            <w:pPr>
              <w:rPr>
                <w:sz w:val="16"/>
                <w:szCs w:val="16"/>
              </w:rPr>
            </w:pPr>
            <w:r>
              <w:rPr>
                <w:sz w:val="16"/>
                <w:szCs w:val="16"/>
              </w:rPr>
              <w:t>--</w:t>
            </w:r>
          </w:p>
        </w:tc>
        <w:tc>
          <w:tcPr>
            <w:tcW w:w="7933" w:type="dxa"/>
          </w:tcPr>
          <w:p w14:paraId="3CCE1E06" w14:textId="6B7C2CB8" w:rsidR="000E3B2C" w:rsidRDefault="000E3B2C" w:rsidP="002B62EB">
            <w:pPr>
              <w:rPr>
                <w:sz w:val="16"/>
                <w:szCs w:val="16"/>
              </w:rPr>
            </w:pPr>
          </w:p>
        </w:tc>
      </w:tr>
      <w:tr w:rsidR="003C6023" w14:paraId="77357CA9" w14:textId="77777777" w:rsidTr="00EE23C2">
        <w:tc>
          <w:tcPr>
            <w:tcW w:w="1129" w:type="dxa"/>
          </w:tcPr>
          <w:p w14:paraId="3D62C12E" w14:textId="074BA738" w:rsidR="003C6023" w:rsidRDefault="003C6023" w:rsidP="002B62EB">
            <w:pPr>
              <w:rPr>
                <w:sz w:val="16"/>
                <w:szCs w:val="16"/>
              </w:rPr>
            </w:pPr>
          </w:p>
        </w:tc>
        <w:tc>
          <w:tcPr>
            <w:tcW w:w="7933" w:type="dxa"/>
          </w:tcPr>
          <w:p w14:paraId="1099CC0B" w14:textId="5FB03E1C"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9FBB97F" w:rsidR="00B520DF" w:rsidRPr="00AB2282" w:rsidRDefault="00B520DF" w:rsidP="001925DB">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r w:rsidR="001925DB">
        <w:rPr>
          <w:sz w:val="16"/>
          <w:szCs w:val="16"/>
          <w:lang w:val="fr-BE"/>
        </w:rPr>
        <w:t xml:space="preserve"> </w:t>
      </w:r>
      <w:proofErr w:type="spellStart"/>
      <w:r w:rsidR="001925DB" w:rsidRPr="001925DB">
        <w:rPr>
          <w:sz w:val="16"/>
          <w:szCs w:val="16"/>
          <w:lang w:val="fr-BE"/>
        </w:rPr>
        <w:t>Hexyl</w:t>
      </w:r>
      <w:proofErr w:type="spellEnd"/>
      <w:r w:rsidR="001925DB" w:rsidRPr="001925DB">
        <w:rPr>
          <w:sz w:val="16"/>
          <w:szCs w:val="16"/>
          <w:lang w:val="fr-BE"/>
        </w:rPr>
        <w:t xml:space="preserve"> </w:t>
      </w:r>
      <w:proofErr w:type="spellStart"/>
      <w:r w:rsidR="001925DB" w:rsidRPr="001925DB">
        <w:rPr>
          <w:sz w:val="16"/>
          <w:szCs w:val="16"/>
          <w:lang w:val="fr-BE"/>
        </w:rPr>
        <w:t>cinnamic</w:t>
      </w:r>
      <w:proofErr w:type="spellEnd"/>
      <w:r w:rsidR="001925DB" w:rsidRPr="001925DB">
        <w:rPr>
          <w:sz w:val="16"/>
          <w:szCs w:val="16"/>
          <w:lang w:val="fr-BE"/>
        </w:rPr>
        <w:t xml:space="preserve"> </w:t>
      </w:r>
      <w:proofErr w:type="spellStart"/>
      <w:r w:rsidR="001925DB" w:rsidRPr="001925DB">
        <w:rPr>
          <w:sz w:val="16"/>
          <w:szCs w:val="16"/>
          <w:lang w:val="fr-BE"/>
        </w:rPr>
        <w:t>aldehyde</w:t>
      </w:r>
      <w:proofErr w:type="spellEnd"/>
      <w:r w:rsidR="001925DB">
        <w:rPr>
          <w:sz w:val="16"/>
          <w:szCs w:val="16"/>
          <w:lang w:val="fr-BE"/>
        </w:rPr>
        <w:t xml:space="preserve">, </w:t>
      </w:r>
      <w:proofErr w:type="spellStart"/>
      <w:r w:rsidR="001925DB" w:rsidRPr="001925DB">
        <w:rPr>
          <w:sz w:val="16"/>
          <w:szCs w:val="16"/>
          <w:lang w:val="fr-BE"/>
        </w:rPr>
        <w:t>Linalool</w:t>
      </w:r>
      <w:proofErr w:type="spellEnd"/>
      <w:r w:rsidR="001925DB">
        <w:rPr>
          <w:sz w:val="16"/>
          <w:szCs w:val="16"/>
          <w:lang w:val="fr-BE"/>
        </w:rPr>
        <w:t xml:space="preserve">, </w:t>
      </w:r>
      <w:r w:rsidR="001925DB" w:rsidRPr="001925DB">
        <w:rPr>
          <w:sz w:val="16"/>
          <w:szCs w:val="16"/>
          <w:lang w:val="fr-BE"/>
        </w:rPr>
        <w:t>Salicylate de benzyle</w:t>
      </w:r>
      <w:r w:rsidR="001925DB">
        <w:rPr>
          <w:sz w:val="16"/>
          <w:szCs w:val="16"/>
          <w:lang w:val="fr-BE"/>
        </w:rPr>
        <w:t xml:space="preserve">, </w:t>
      </w:r>
      <w:r w:rsidR="001925DB" w:rsidRPr="001925DB">
        <w:rPr>
          <w:sz w:val="16"/>
          <w:szCs w:val="16"/>
          <w:lang w:val="fr-BE"/>
        </w:rPr>
        <w:t>3-(2,2-diméthyl-3-hydroxypropyl)toluène; 2,2-diméthyl- 3</w:t>
      </w:r>
      <w:r w:rsidR="001925DB">
        <w:rPr>
          <w:sz w:val="16"/>
          <w:szCs w:val="16"/>
          <w:lang w:val="fr-BE"/>
        </w:rPr>
        <w:t xml:space="preserve"> </w:t>
      </w:r>
      <w:r w:rsidR="001925DB" w:rsidRPr="001925DB">
        <w:rPr>
          <w:sz w:val="16"/>
          <w:szCs w:val="16"/>
          <w:lang w:val="fr-BE"/>
        </w:rPr>
        <w:t>(3-méthylphényl)</w:t>
      </w:r>
      <w:proofErr w:type="spellStart"/>
      <w:r w:rsidR="001925DB" w:rsidRPr="001925DB">
        <w:rPr>
          <w:sz w:val="16"/>
          <w:szCs w:val="16"/>
          <w:lang w:val="fr-BE"/>
        </w:rPr>
        <w:t>propanol</w:t>
      </w:r>
      <w:proofErr w:type="spellEnd"/>
      <w:r w:rsidR="001925DB">
        <w:rPr>
          <w:sz w:val="16"/>
          <w:szCs w:val="16"/>
          <w:lang w:val="fr-BE"/>
        </w:rPr>
        <w:t xml:space="preserve">, </w:t>
      </w:r>
      <w:proofErr w:type="spellStart"/>
      <w:r w:rsidR="001925DB" w:rsidRPr="001925DB">
        <w:rPr>
          <w:sz w:val="16"/>
          <w:szCs w:val="16"/>
          <w:lang w:val="fr-BE"/>
        </w:rPr>
        <w:t>Hexyl</w:t>
      </w:r>
      <w:proofErr w:type="spellEnd"/>
      <w:r w:rsidR="001925DB" w:rsidRPr="001925DB">
        <w:rPr>
          <w:sz w:val="16"/>
          <w:szCs w:val="16"/>
          <w:lang w:val="fr-BE"/>
        </w:rPr>
        <w:t xml:space="preserve"> salicylate</w:t>
      </w:r>
      <w:r w:rsidR="001925DB">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ED797E" w:rsidRPr="00ED797E" w14:paraId="43A05B35" w14:textId="77777777" w:rsidTr="003E25EE">
        <w:trPr>
          <w:trHeight w:val="994"/>
        </w:trPr>
        <w:tc>
          <w:tcPr>
            <w:tcW w:w="2500" w:type="dxa"/>
          </w:tcPr>
          <w:p w14:paraId="36ADBFD8" w14:textId="77777777" w:rsidR="00ED797E" w:rsidRPr="00ED797E" w:rsidRDefault="00ED797E" w:rsidP="00ED797E">
            <w:pPr>
              <w:rPr>
                <w:sz w:val="16"/>
                <w:szCs w:val="16"/>
                <w:lang w:val="fr-BE"/>
              </w:rPr>
            </w:pPr>
            <w:proofErr w:type="spellStart"/>
            <w:r w:rsidRPr="00ED797E">
              <w:rPr>
                <w:sz w:val="16"/>
                <w:szCs w:val="16"/>
                <w:lang w:val="fr-BE"/>
              </w:rPr>
              <w:t>Hexyl</w:t>
            </w:r>
            <w:proofErr w:type="spellEnd"/>
            <w:r w:rsidRPr="00ED797E">
              <w:rPr>
                <w:sz w:val="16"/>
                <w:szCs w:val="16"/>
                <w:lang w:val="fr-BE"/>
              </w:rPr>
              <w:t xml:space="preserve"> </w:t>
            </w:r>
            <w:proofErr w:type="spellStart"/>
            <w:r w:rsidRPr="00ED797E">
              <w:rPr>
                <w:sz w:val="16"/>
                <w:szCs w:val="16"/>
                <w:lang w:val="fr-BE"/>
              </w:rPr>
              <w:t>cinnamic</w:t>
            </w:r>
            <w:proofErr w:type="spellEnd"/>
            <w:r w:rsidRPr="00ED797E">
              <w:rPr>
                <w:sz w:val="16"/>
                <w:szCs w:val="16"/>
                <w:lang w:val="fr-BE"/>
              </w:rPr>
              <w:t xml:space="preserve"> </w:t>
            </w:r>
            <w:proofErr w:type="spellStart"/>
            <w:r w:rsidRPr="00ED797E">
              <w:rPr>
                <w:sz w:val="16"/>
                <w:szCs w:val="16"/>
                <w:lang w:val="fr-BE"/>
              </w:rPr>
              <w:t>aldehyde</w:t>
            </w:r>
            <w:proofErr w:type="spellEnd"/>
          </w:p>
          <w:p w14:paraId="5E77F073" w14:textId="0F55DE66" w:rsidR="00ED797E" w:rsidRPr="00ED797E" w:rsidRDefault="00ED797E" w:rsidP="00ED797E">
            <w:pPr>
              <w:rPr>
                <w:sz w:val="16"/>
                <w:szCs w:val="16"/>
                <w:lang w:val="en-US"/>
              </w:rPr>
            </w:pPr>
          </w:p>
        </w:tc>
        <w:tc>
          <w:tcPr>
            <w:tcW w:w="2740" w:type="dxa"/>
          </w:tcPr>
          <w:p w14:paraId="16D21FAF" w14:textId="77777777" w:rsidR="00ED797E" w:rsidRPr="00ED797E" w:rsidRDefault="00ED797E" w:rsidP="00ED797E">
            <w:pPr>
              <w:rPr>
                <w:sz w:val="16"/>
                <w:szCs w:val="16"/>
                <w:lang w:val="fr-BE"/>
              </w:rPr>
            </w:pPr>
            <w:r w:rsidRPr="00ED797E">
              <w:rPr>
                <w:sz w:val="16"/>
                <w:szCs w:val="16"/>
                <w:lang w:val="fr-BE"/>
              </w:rPr>
              <w:t>N° CAS: 101-86-0</w:t>
            </w:r>
          </w:p>
          <w:p w14:paraId="161630A7" w14:textId="77777777" w:rsidR="00ED797E" w:rsidRPr="00ED797E" w:rsidRDefault="00ED797E" w:rsidP="00ED797E">
            <w:pPr>
              <w:rPr>
                <w:sz w:val="16"/>
                <w:szCs w:val="16"/>
                <w:lang w:val="fr-BE"/>
              </w:rPr>
            </w:pPr>
            <w:r w:rsidRPr="00ED797E">
              <w:rPr>
                <w:sz w:val="16"/>
                <w:szCs w:val="16"/>
                <w:lang w:val="fr-BE"/>
              </w:rPr>
              <w:t>N° CE: 202-983-3</w:t>
            </w:r>
          </w:p>
          <w:p w14:paraId="3A505E91" w14:textId="6B3FD58C" w:rsidR="00ED797E" w:rsidRPr="00ED797E" w:rsidRDefault="00ED797E" w:rsidP="00ED797E">
            <w:pPr>
              <w:rPr>
                <w:sz w:val="16"/>
                <w:szCs w:val="16"/>
                <w:lang w:val="fr-BE"/>
              </w:rPr>
            </w:pPr>
            <w:r w:rsidRPr="00ED797E">
              <w:rPr>
                <w:sz w:val="16"/>
                <w:szCs w:val="16"/>
                <w:lang w:val="fr-BE"/>
              </w:rPr>
              <w:t>N° REACH: 01-2119533092-</w:t>
            </w:r>
            <w:r w:rsidRPr="00ED797E">
              <w:rPr>
                <w:sz w:val="16"/>
                <w:szCs w:val="16"/>
                <w:lang w:val="en-US"/>
              </w:rPr>
              <w:t>50</w:t>
            </w:r>
          </w:p>
        </w:tc>
        <w:tc>
          <w:tcPr>
            <w:tcW w:w="1418" w:type="dxa"/>
          </w:tcPr>
          <w:p w14:paraId="3848C501" w14:textId="4A79F495" w:rsidR="00ED797E" w:rsidRPr="00ED797E" w:rsidRDefault="00ED797E" w:rsidP="00F07D40">
            <w:pPr>
              <w:jc w:val="center"/>
              <w:rPr>
                <w:sz w:val="16"/>
                <w:szCs w:val="16"/>
                <w:lang w:val="en-US"/>
              </w:rPr>
            </w:pPr>
            <w:r>
              <w:rPr>
                <w:sz w:val="16"/>
                <w:szCs w:val="16"/>
                <w:lang w:val="en-US"/>
              </w:rPr>
              <w:t>0.</w:t>
            </w:r>
            <w:r w:rsidR="00CA0659">
              <w:rPr>
                <w:sz w:val="16"/>
                <w:szCs w:val="16"/>
                <w:lang w:val="en-US"/>
              </w:rPr>
              <w:t>2205</w:t>
            </w:r>
            <w:r>
              <w:rPr>
                <w:sz w:val="16"/>
                <w:szCs w:val="16"/>
                <w:lang w:val="en-US"/>
              </w:rPr>
              <w:t>-0.</w:t>
            </w:r>
            <w:r w:rsidR="00CA0659">
              <w:rPr>
                <w:sz w:val="16"/>
                <w:szCs w:val="16"/>
                <w:lang w:val="en-US"/>
              </w:rPr>
              <w:t>4305</w:t>
            </w:r>
          </w:p>
        </w:tc>
        <w:tc>
          <w:tcPr>
            <w:tcW w:w="2976" w:type="dxa"/>
          </w:tcPr>
          <w:p w14:paraId="0422CBBE" w14:textId="77777777" w:rsidR="00ED797E" w:rsidRDefault="00ED797E" w:rsidP="004C14D2">
            <w:pPr>
              <w:rPr>
                <w:sz w:val="16"/>
                <w:szCs w:val="16"/>
                <w:lang w:val="en-US"/>
              </w:rPr>
            </w:pPr>
            <w:r w:rsidRPr="00ED797E">
              <w:rPr>
                <w:sz w:val="16"/>
                <w:szCs w:val="16"/>
                <w:lang w:val="en-US"/>
              </w:rPr>
              <w:t xml:space="preserve">Skin Sens. 1, H317 </w:t>
            </w:r>
          </w:p>
          <w:p w14:paraId="5ABA9985" w14:textId="5B486A4C" w:rsidR="00ED797E" w:rsidRPr="00ED797E" w:rsidRDefault="00ED797E" w:rsidP="004C14D2">
            <w:pPr>
              <w:rPr>
                <w:sz w:val="16"/>
                <w:szCs w:val="16"/>
                <w:lang w:val="en-US"/>
              </w:rPr>
            </w:pPr>
            <w:r w:rsidRPr="00ED797E">
              <w:rPr>
                <w:sz w:val="16"/>
                <w:szCs w:val="16"/>
                <w:lang w:val="en-US"/>
              </w:rPr>
              <w:t>Aquatic Chronic 2, H411</w:t>
            </w:r>
          </w:p>
        </w:tc>
      </w:tr>
      <w:tr w:rsidR="00ED797E" w:rsidRPr="00ED797E" w14:paraId="27087FB0" w14:textId="77777777" w:rsidTr="003E25EE">
        <w:trPr>
          <w:trHeight w:val="994"/>
        </w:trPr>
        <w:tc>
          <w:tcPr>
            <w:tcW w:w="2500" w:type="dxa"/>
          </w:tcPr>
          <w:p w14:paraId="60E999C1" w14:textId="77777777" w:rsidR="00ED797E" w:rsidRPr="00ED797E" w:rsidRDefault="00ED797E" w:rsidP="00ED797E">
            <w:pPr>
              <w:rPr>
                <w:sz w:val="16"/>
                <w:szCs w:val="16"/>
                <w:lang w:val="fr-BE"/>
              </w:rPr>
            </w:pPr>
            <w:proofErr w:type="spellStart"/>
            <w:r w:rsidRPr="00ED797E">
              <w:rPr>
                <w:sz w:val="16"/>
                <w:szCs w:val="16"/>
                <w:lang w:val="fr-BE"/>
              </w:rPr>
              <w:t>Linalool</w:t>
            </w:r>
            <w:proofErr w:type="spellEnd"/>
          </w:p>
          <w:p w14:paraId="6ACC8320" w14:textId="6A635DF6" w:rsidR="00ED797E" w:rsidRPr="00ED797E" w:rsidRDefault="00ED797E" w:rsidP="00ED797E">
            <w:pPr>
              <w:rPr>
                <w:sz w:val="16"/>
                <w:szCs w:val="16"/>
                <w:lang w:val="fr-BE"/>
              </w:rPr>
            </w:pPr>
          </w:p>
        </w:tc>
        <w:tc>
          <w:tcPr>
            <w:tcW w:w="2740" w:type="dxa"/>
          </w:tcPr>
          <w:p w14:paraId="34744375" w14:textId="77777777" w:rsidR="00ED797E" w:rsidRPr="00ED797E" w:rsidRDefault="00ED797E" w:rsidP="00ED797E">
            <w:pPr>
              <w:rPr>
                <w:sz w:val="16"/>
                <w:szCs w:val="16"/>
                <w:lang w:val="fr-BE"/>
              </w:rPr>
            </w:pPr>
            <w:r w:rsidRPr="00ED797E">
              <w:rPr>
                <w:sz w:val="16"/>
                <w:szCs w:val="16"/>
                <w:lang w:val="fr-BE"/>
              </w:rPr>
              <w:t>N° CAS: 78-70-6</w:t>
            </w:r>
          </w:p>
          <w:p w14:paraId="6B4CAF9A" w14:textId="77777777" w:rsidR="00ED797E" w:rsidRPr="00ED797E" w:rsidRDefault="00ED797E" w:rsidP="00ED797E">
            <w:pPr>
              <w:rPr>
                <w:sz w:val="16"/>
                <w:szCs w:val="16"/>
                <w:lang w:val="fr-BE"/>
              </w:rPr>
            </w:pPr>
            <w:r w:rsidRPr="00ED797E">
              <w:rPr>
                <w:sz w:val="16"/>
                <w:szCs w:val="16"/>
                <w:lang w:val="fr-BE"/>
              </w:rPr>
              <w:t>N° CE: 201-134-4</w:t>
            </w:r>
          </w:p>
          <w:p w14:paraId="77F98773" w14:textId="77777777" w:rsidR="00ED797E" w:rsidRPr="00ED797E" w:rsidRDefault="00ED797E" w:rsidP="00ED797E">
            <w:pPr>
              <w:rPr>
                <w:sz w:val="16"/>
                <w:szCs w:val="16"/>
                <w:lang w:val="fr-BE"/>
              </w:rPr>
            </w:pPr>
            <w:r w:rsidRPr="00ED797E">
              <w:rPr>
                <w:sz w:val="16"/>
                <w:szCs w:val="16"/>
                <w:lang w:val="fr-BE"/>
              </w:rPr>
              <w:t>N° Index: 603-235-00-2</w:t>
            </w:r>
          </w:p>
          <w:p w14:paraId="42CF43CF" w14:textId="51DF8971" w:rsidR="00ED797E" w:rsidRPr="00ED797E" w:rsidRDefault="00ED797E" w:rsidP="00ED797E">
            <w:pPr>
              <w:rPr>
                <w:sz w:val="16"/>
                <w:szCs w:val="16"/>
                <w:lang w:val="fr-BE"/>
              </w:rPr>
            </w:pPr>
            <w:r w:rsidRPr="00ED797E">
              <w:rPr>
                <w:sz w:val="16"/>
                <w:szCs w:val="16"/>
                <w:lang w:val="fr-BE"/>
              </w:rPr>
              <w:t>N° REACH: 01-2119474016-42</w:t>
            </w:r>
          </w:p>
        </w:tc>
        <w:tc>
          <w:tcPr>
            <w:tcW w:w="1418" w:type="dxa"/>
          </w:tcPr>
          <w:p w14:paraId="2469264E" w14:textId="01036216" w:rsidR="00ED797E" w:rsidRPr="00ED797E" w:rsidRDefault="00ED797E" w:rsidP="00F07D40">
            <w:pPr>
              <w:jc w:val="center"/>
              <w:rPr>
                <w:sz w:val="16"/>
                <w:szCs w:val="16"/>
                <w:lang w:val="fr-BE"/>
              </w:rPr>
            </w:pPr>
            <w:r>
              <w:rPr>
                <w:sz w:val="16"/>
                <w:szCs w:val="16"/>
                <w:lang w:val="fr-BE"/>
              </w:rPr>
              <w:t>0.</w:t>
            </w:r>
            <w:r w:rsidR="00CA0659">
              <w:rPr>
                <w:sz w:val="16"/>
                <w:szCs w:val="16"/>
                <w:lang w:val="fr-BE"/>
              </w:rPr>
              <w:t>09625</w:t>
            </w:r>
            <w:r>
              <w:rPr>
                <w:sz w:val="16"/>
                <w:szCs w:val="16"/>
                <w:lang w:val="fr-BE"/>
              </w:rPr>
              <w:t>-0.</w:t>
            </w:r>
            <w:r w:rsidR="00CA0659">
              <w:rPr>
                <w:sz w:val="16"/>
                <w:szCs w:val="16"/>
                <w:lang w:val="fr-BE"/>
              </w:rPr>
              <w:t>1925</w:t>
            </w:r>
          </w:p>
        </w:tc>
        <w:tc>
          <w:tcPr>
            <w:tcW w:w="2976" w:type="dxa"/>
          </w:tcPr>
          <w:p w14:paraId="0C13648E" w14:textId="77777777" w:rsidR="00ED797E" w:rsidRDefault="00ED797E" w:rsidP="004C14D2">
            <w:pPr>
              <w:rPr>
                <w:sz w:val="16"/>
                <w:szCs w:val="16"/>
                <w:lang w:val="fr-BE"/>
              </w:rPr>
            </w:pPr>
            <w:r w:rsidRPr="00ED797E">
              <w:rPr>
                <w:sz w:val="16"/>
                <w:szCs w:val="16"/>
                <w:lang w:val="fr-BE"/>
              </w:rPr>
              <w:t xml:space="preserve">Skin </w:t>
            </w:r>
            <w:proofErr w:type="spellStart"/>
            <w:r w:rsidRPr="00ED797E">
              <w:rPr>
                <w:sz w:val="16"/>
                <w:szCs w:val="16"/>
                <w:lang w:val="fr-BE"/>
              </w:rPr>
              <w:t>Irrit</w:t>
            </w:r>
            <w:proofErr w:type="spellEnd"/>
            <w:r w:rsidRPr="00ED797E">
              <w:rPr>
                <w:sz w:val="16"/>
                <w:szCs w:val="16"/>
                <w:lang w:val="fr-BE"/>
              </w:rPr>
              <w:t xml:space="preserve">. 2, H315 </w:t>
            </w:r>
          </w:p>
          <w:p w14:paraId="6849DAE8" w14:textId="77777777" w:rsidR="00ED797E" w:rsidRDefault="00ED797E" w:rsidP="004C14D2">
            <w:pPr>
              <w:rPr>
                <w:sz w:val="16"/>
                <w:szCs w:val="16"/>
                <w:lang w:val="fr-BE"/>
              </w:rPr>
            </w:pPr>
            <w:r w:rsidRPr="00ED797E">
              <w:rPr>
                <w:sz w:val="16"/>
                <w:szCs w:val="16"/>
                <w:lang w:val="fr-BE"/>
              </w:rPr>
              <w:t xml:space="preserve">Eye </w:t>
            </w:r>
            <w:proofErr w:type="spellStart"/>
            <w:r w:rsidRPr="00ED797E">
              <w:rPr>
                <w:sz w:val="16"/>
                <w:szCs w:val="16"/>
                <w:lang w:val="fr-BE"/>
              </w:rPr>
              <w:t>Irrit</w:t>
            </w:r>
            <w:proofErr w:type="spellEnd"/>
            <w:r w:rsidRPr="00ED797E">
              <w:rPr>
                <w:sz w:val="16"/>
                <w:szCs w:val="16"/>
                <w:lang w:val="fr-BE"/>
              </w:rPr>
              <w:t xml:space="preserve">. 2, H319 </w:t>
            </w:r>
          </w:p>
          <w:p w14:paraId="70EF4A76" w14:textId="5F05458B" w:rsidR="00ED797E" w:rsidRPr="00ED797E" w:rsidRDefault="00ED797E" w:rsidP="004C14D2">
            <w:pPr>
              <w:rPr>
                <w:sz w:val="16"/>
                <w:szCs w:val="16"/>
                <w:lang w:val="fr-BE"/>
              </w:rPr>
            </w:pPr>
            <w:r w:rsidRPr="00ED797E">
              <w:rPr>
                <w:sz w:val="16"/>
                <w:szCs w:val="16"/>
                <w:lang w:val="fr-BE"/>
              </w:rPr>
              <w:t>Skin Sens. 1B, H317</w:t>
            </w:r>
          </w:p>
        </w:tc>
      </w:tr>
      <w:tr w:rsidR="00ED797E" w:rsidRPr="00ED797E" w14:paraId="7B74A4B4" w14:textId="77777777" w:rsidTr="003E25EE">
        <w:trPr>
          <w:trHeight w:val="994"/>
        </w:trPr>
        <w:tc>
          <w:tcPr>
            <w:tcW w:w="2500" w:type="dxa"/>
          </w:tcPr>
          <w:p w14:paraId="2D17DA45" w14:textId="77777777" w:rsidR="00ED797E" w:rsidRPr="00ED797E" w:rsidRDefault="00ED797E" w:rsidP="00ED797E">
            <w:pPr>
              <w:rPr>
                <w:sz w:val="16"/>
                <w:szCs w:val="16"/>
                <w:lang w:val="fr-BE"/>
              </w:rPr>
            </w:pPr>
            <w:r w:rsidRPr="00ED797E">
              <w:rPr>
                <w:sz w:val="16"/>
                <w:szCs w:val="16"/>
                <w:lang w:val="fr-BE"/>
              </w:rPr>
              <w:t>Salicylate de benzyle</w:t>
            </w:r>
          </w:p>
          <w:p w14:paraId="7B618AF6" w14:textId="65805FFF" w:rsidR="00ED797E" w:rsidRPr="00ED797E" w:rsidRDefault="00ED797E" w:rsidP="00ED797E">
            <w:pPr>
              <w:rPr>
                <w:sz w:val="16"/>
                <w:szCs w:val="16"/>
                <w:lang w:val="fr-BE"/>
              </w:rPr>
            </w:pPr>
          </w:p>
        </w:tc>
        <w:tc>
          <w:tcPr>
            <w:tcW w:w="2740" w:type="dxa"/>
          </w:tcPr>
          <w:p w14:paraId="50A5F54C" w14:textId="77777777" w:rsidR="00ED797E" w:rsidRPr="00ED797E" w:rsidRDefault="00ED797E" w:rsidP="00ED797E">
            <w:pPr>
              <w:rPr>
                <w:sz w:val="16"/>
                <w:szCs w:val="16"/>
                <w:lang w:val="fr-BE"/>
              </w:rPr>
            </w:pPr>
            <w:r w:rsidRPr="00ED797E">
              <w:rPr>
                <w:sz w:val="16"/>
                <w:szCs w:val="16"/>
                <w:lang w:val="fr-BE"/>
              </w:rPr>
              <w:t>N° CAS: 118-58-1</w:t>
            </w:r>
          </w:p>
          <w:p w14:paraId="09C04BF0" w14:textId="77777777" w:rsidR="00ED797E" w:rsidRPr="00ED797E" w:rsidRDefault="00ED797E" w:rsidP="00ED797E">
            <w:pPr>
              <w:rPr>
                <w:sz w:val="16"/>
                <w:szCs w:val="16"/>
                <w:lang w:val="fr-BE"/>
              </w:rPr>
            </w:pPr>
            <w:r w:rsidRPr="00ED797E">
              <w:rPr>
                <w:sz w:val="16"/>
                <w:szCs w:val="16"/>
                <w:lang w:val="fr-BE"/>
              </w:rPr>
              <w:t>N° CE: 204-262-9</w:t>
            </w:r>
          </w:p>
          <w:p w14:paraId="312DFC2C" w14:textId="77777777" w:rsidR="00ED797E" w:rsidRPr="00ED797E" w:rsidRDefault="00ED797E" w:rsidP="00ED797E">
            <w:pPr>
              <w:rPr>
                <w:sz w:val="16"/>
                <w:szCs w:val="16"/>
                <w:lang w:val="fr-BE"/>
              </w:rPr>
            </w:pPr>
            <w:r w:rsidRPr="00ED797E">
              <w:rPr>
                <w:sz w:val="16"/>
                <w:szCs w:val="16"/>
                <w:lang w:val="fr-BE"/>
              </w:rPr>
              <w:t>N° Index: 607-754-00-5</w:t>
            </w:r>
          </w:p>
          <w:p w14:paraId="681CEE55" w14:textId="685EFE00" w:rsidR="00ED797E" w:rsidRPr="00ED797E" w:rsidRDefault="00ED797E" w:rsidP="00ED797E">
            <w:pPr>
              <w:rPr>
                <w:sz w:val="16"/>
                <w:szCs w:val="16"/>
                <w:lang w:val="fr-BE"/>
              </w:rPr>
            </w:pPr>
            <w:r w:rsidRPr="00ED797E">
              <w:rPr>
                <w:sz w:val="16"/>
                <w:szCs w:val="16"/>
                <w:lang w:val="fr-BE"/>
              </w:rPr>
              <w:t>N° REACH: 01-2119969442-31</w:t>
            </w:r>
          </w:p>
        </w:tc>
        <w:tc>
          <w:tcPr>
            <w:tcW w:w="1418" w:type="dxa"/>
          </w:tcPr>
          <w:p w14:paraId="38F03388" w14:textId="4D6EB9E4" w:rsidR="00ED797E" w:rsidRDefault="00ED797E" w:rsidP="00F07D40">
            <w:pPr>
              <w:jc w:val="center"/>
              <w:rPr>
                <w:sz w:val="16"/>
                <w:szCs w:val="16"/>
                <w:lang w:val="fr-BE"/>
              </w:rPr>
            </w:pPr>
            <w:r>
              <w:rPr>
                <w:sz w:val="16"/>
                <w:szCs w:val="16"/>
                <w:lang w:val="fr-BE"/>
              </w:rPr>
              <w:t>0.</w:t>
            </w:r>
            <w:r w:rsidR="00CA0659">
              <w:rPr>
                <w:sz w:val="16"/>
                <w:szCs w:val="16"/>
                <w:lang w:val="fr-BE"/>
              </w:rPr>
              <w:t>091</w:t>
            </w:r>
            <w:r>
              <w:rPr>
                <w:sz w:val="16"/>
                <w:szCs w:val="16"/>
                <w:lang w:val="fr-BE"/>
              </w:rPr>
              <w:t>-0.</w:t>
            </w:r>
            <w:r w:rsidR="00CA0659">
              <w:rPr>
                <w:sz w:val="16"/>
                <w:szCs w:val="16"/>
                <w:lang w:val="fr-BE"/>
              </w:rPr>
              <w:t>182</w:t>
            </w:r>
          </w:p>
        </w:tc>
        <w:tc>
          <w:tcPr>
            <w:tcW w:w="2976" w:type="dxa"/>
          </w:tcPr>
          <w:p w14:paraId="2D4EC3CA" w14:textId="77777777" w:rsidR="00ED797E" w:rsidRDefault="00ED797E" w:rsidP="00ED797E">
            <w:pPr>
              <w:rPr>
                <w:sz w:val="16"/>
                <w:szCs w:val="16"/>
                <w:lang w:val="fr-BE"/>
              </w:rPr>
            </w:pPr>
            <w:r w:rsidRPr="00ED797E">
              <w:rPr>
                <w:sz w:val="16"/>
                <w:szCs w:val="16"/>
                <w:lang w:val="fr-BE"/>
              </w:rPr>
              <w:t xml:space="preserve">Eye </w:t>
            </w:r>
            <w:proofErr w:type="spellStart"/>
            <w:r w:rsidRPr="00ED797E">
              <w:rPr>
                <w:sz w:val="16"/>
                <w:szCs w:val="16"/>
                <w:lang w:val="fr-BE"/>
              </w:rPr>
              <w:t>Irrit</w:t>
            </w:r>
            <w:proofErr w:type="spellEnd"/>
            <w:r w:rsidRPr="00ED797E">
              <w:rPr>
                <w:sz w:val="16"/>
                <w:szCs w:val="16"/>
                <w:lang w:val="fr-BE"/>
              </w:rPr>
              <w:t xml:space="preserve">. 2, H319 </w:t>
            </w:r>
          </w:p>
          <w:p w14:paraId="1290048D" w14:textId="5CC5DA26" w:rsidR="00ED797E" w:rsidRPr="00ED797E" w:rsidRDefault="00ED797E" w:rsidP="00ED797E">
            <w:pPr>
              <w:rPr>
                <w:sz w:val="16"/>
                <w:szCs w:val="16"/>
                <w:lang w:val="fr-BE"/>
              </w:rPr>
            </w:pPr>
            <w:r w:rsidRPr="00ED797E">
              <w:rPr>
                <w:sz w:val="16"/>
                <w:szCs w:val="16"/>
                <w:lang w:val="fr-BE"/>
              </w:rPr>
              <w:t>Skin Sens. 1B, H317</w:t>
            </w:r>
          </w:p>
          <w:p w14:paraId="71F5BD86" w14:textId="3A0B40E8" w:rsidR="00ED797E" w:rsidRPr="00ED797E" w:rsidRDefault="00ED797E" w:rsidP="00ED797E">
            <w:pPr>
              <w:rPr>
                <w:sz w:val="16"/>
                <w:szCs w:val="16"/>
                <w:lang w:val="fr-BE"/>
              </w:rPr>
            </w:pPr>
            <w:proofErr w:type="spellStart"/>
            <w:r w:rsidRPr="00ED797E">
              <w:rPr>
                <w:sz w:val="16"/>
                <w:szCs w:val="16"/>
                <w:lang w:val="fr-BE"/>
              </w:rPr>
              <w:t>Aquatic</w:t>
            </w:r>
            <w:proofErr w:type="spellEnd"/>
            <w:r w:rsidRPr="00ED797E">
              <w:rPr>
                <w:sz w:val="16"/>
                <w:szCs w:val="16"/>
                <w:lang w:val="fr-BE"/>
              </w:rPr>
              <w:t xml:space="preserve"> Chronic 3, H412</w:t>
            </w:r>
          </w:p>
        </w:tc>
      </w:tr>
      <w:tr w:rsidR="00ED797E" w:rsidRPr="00ED797E" w14:paraId="486EAA83" w14:textId="77777777" w:rsidTr="003E25EE">
        <w:trPr>
          <w:trHeight w:val="994"/>
        </w:trPr>
        <w:tc>
          <w:tcPr>
            <w:tcW w:w="2500" w:type="dxa"/>
          </w:tcPr>
          <w:p w14:paraId="1EE4792E" w14:textId="77777777" w:rsidR="00ED797E" w:rsidRPr="00ED797E" w:rsidRDefault="00ED797E" w:rsidP="00ED797E">
            <w:pPr>
              <w:rPr>
                <w:sz w:val="16"/>
                <w:szCs w:val="16"/>
                <w:lang w:val="fr-BE"/>
              </w:rPr>
            </w:pPr>
            <w:r w:rsidRPr="00ED797E">
              <w:rPr>
                <w:sz w:val="16"/>
                <w:szCs w:val="16"/>
                <w:lang w:val="fr-BE"/>
              </w:rPr>
              <w:t>3-(2,2-diméthyl-3-hydroxypropyl)toluène; 2,2-diméthyl- 3-(3-méthylphényl)</w:t>
            </w:r>
            <w:proofErr w:type="spellStart"/>
            <w:r w:rsidRPr="00ED797E">
              <w:rPr>
                <w:sz w:val="16"/>
                <w:szCs w:val="16"/>
                <w:lang w:val="fr-BE"/>
              </w:rPr>
              <w:t>propanol</w:t>
            </w:r>
            <w:proofErr w:type="spellEnd"/>
          </w:p>
          <w:p w14:paraId="6501CD40" w14:textId="7CEAA265" w:rsidR="00ED797E" w:rsidRPr="00ED797E" w:rsidRDefault="00ED797E" w:rsidP="00ED797E">
            <w:pPr>
              <w:rPr>
                <w:sz w:val="16"/>
                <w:szCs w:val="16"/>
                <w:lang w:val="en-US"/>
              </w:rPr>
            </w:pPr>
          </w:p>
        </w:tc>
        <w:tc>
          <w:tcPr>
            <w:tcW w:w="2740" w:type="dxa"/>
          </w:tcPr>
          <w:p w14:paraId="116410F8" w14:textId="77777777" w:rsidR="00ED797E" w:rsidRPr="00ED797E" w:rsidRDefault="00ED797E" w:rsidP="00ED797E">
            <w:pPr>
              <w:rPr>
                <w:sz w:val="16"/>
                <w:szCs w:val="16"/>
                <w:lang w:val="fr-BE"/>
              </w:rPr>
            </w:pPr>
            <w:r w:rsidRPr="00ED797E">
              <w:rPr>
                <w:sz w:val="16"/>
                <w:szCs w:val="16"/>
                <w:lang w:val="fr-BE"/>
              </w:rPr>
              <w:t>N° CAS: 103694-68-4</w:t>
            </w:r>
          </w:p>
          <w:p w14:paraId="46EBC5B2" w14:textId="77777777" w:rsidR="00ED797E" w:rsidRPr="00ED797E" w:rsidRDefault="00ED797E" w:rsidP="00ED797E">
            <w:pPr>
              <w:rPr>
                <w:sz w:val="16"/>
                <w:szCs w:val="16"/>
                <w:lang w:val="fr-BE"/>
              </w:rPr>
            </w:pPr>
            <w:r w:rsidRPr="00ED797E">
              <w:rPr>
                <w:sz w:val="16"/>
                <w:szCs w:val="16"/>
                <w:lang w:val="fr-BE"/>
              </w:rPr>
              <w:t>N° CE: 403-140-4</w:t>
            </w:r>
          </w:p>
          <w:p w14:paraId="112BEBBE" w14:textId="5E0C2211" w:rsidR="00ED797E" w:rsidRPr="00ED797E" w:rsidRDefault="00ED797E" w:rsidP="00ED797E">
            <w:pPr>
              <w:rPr>
                <w:sz w:val="16"/>
                <w:szCs w:val="16"/>
                <w:lang w:val="fr-BE"/>
              </w:rPr>
            </w:pPr>
            <w:r w:rsidRPr="00ED797E">
              <w:rPr>
                <w:sz w:val="16"/>
                <w:szCs w:val="16"/>
                <w:lang w:val="fr-BE"/>
              </w:rPr>
              <w:t>N° Index: 603-138-00-5</w:t>
            </w:r>
          </w:p>
        </w:tc>
        <w:tc>
          <w:tcPr>
            <w:tcW w:w="1418" w:type="dxa"/>
          </w:tcPr>
          <w:p w14:paraId="5CFF832E" w14:textId="458AA234" w:rsidR="00ED797E" w:rsidRPr="00ED797E" w:rsidRDefault="00ED797E" w:rsidP="00F07D40">
            <w:pPr>
              <w:jc w:val="center"/>
              <w:rPr>
                <w:sz w:val="16"/>
                <w:szCs w:val="16"/>
                <w:lang w:val="fr-BE"/>
              </w:rPr>
            </w:pPr>
            <w:r>
              <w:rPr>
                <w:sz w:val="16"/>
                <w:szCs w:val="16"/>
                <w:lang w:val="fr-BE"/>
              </w:rPr>
              <w:t>0.00</w:t>
            </w:r>
            <w:r w:rsidR="00CA0659">
              <w:rPr>
                <w:sz w:val="16"/>
                <w:szCs w:val="16"/>
                <w:lang w:val="fr-BE"/>
              </w:rPr>
              <w:t>08575</w:t>
            </w:r>
            <w:r>
              <w:rPr>
                <w:sz w:val="16"/>
                <w:szCs w:val="16"/>
                <w:lang w:val="fr-BE"/>
              </w:rPr>
              <w:t>-0.</w:t>
            </w:r>
            <w:r w:rsidR="00CA0659">
              <w:rPr>
                <w:sz w:val="16"/>
                <w:szCs w:val="16"/>
                <w:lang w:val="fr-BE"/>
              </w:rPr>
              <w:t>1715</w:t>
            </w:r>
          </w:p>
        </w:tc>
        <w:tc>
          <w:tcPr>
            <w:tcW w:w="2976" w:type="dxa"/>
          </w:tcPr>
          <w:p w14:paraId="49F4C467" w14:textId="77777777" w:rsidR="00ED797E" w:rsidRDefault="00ED797E" w:rsidP="00ED797E">
            <w:pPr>
              <w:rPr>
                <w:sz w:val="16"/>
                <w:szCs w:val="16"/>
                <w:lang w:val="en-US"/>
              </w:rPr>
            </w:pPr>
            <w:r w:rsidRPr="00ED797E">
              <w:rPr>
                <w:sz w:val="16"/>
                <w:szCs w:val="16"/>
                <w:lang w:val="en-US"/>
              </w:rPr>
              <w:t xml:space="preserve">Skin Sens. 1, H317 </w:t>
            </w:r>
          </w:p>
          <w:p w14:paraId="51586D87" w14:textId="5F61E756" w:rsidR="00ED797E" w:rsidRPr="00ED797E" w:rsidRDefault="00ED797E" w:rsidP="00ED797E">
            <w:pPr>
              <w:rPr>
                <w:sz w:val="16"/>
                <w:szCs w:val="16"/>
                <w:lang w:val="en-US"/>
              </w:rPr>
            </w:pPr>
            <w:r w:rsidRPr="00ED797E">
              <w:rPr>
                <w:sz w:val="16"/>
                <w:szCs w:val="16"/>
                <w:lang w:val="en-US"/>
              </w:rPr>
              <w:t>Aquatic Chronic 3, H412</w:t>
            </w:r>
          </w:p>
        </w:tc>
      </w:tr>
      <w:tr w:rsidR="00ED797E" w:rsidRPr="00ED797E" w14:paraId="08D757B3" w14:textId="77777777" w:rsidTr="003E25EE">
        <w:trPr>
          <w:trHeight w:val="994"/>
        </w:trPr>
        <w:tc>
          <w:tcPr>
            <w:tcW w:w="2500" w:type="dxa"/>
          </w:tcPr>
          <w:p w14:paraId="54059859" w14:textId="77777777" w:rsidR="00ED797E" w:rsidRPr="00ED797E" w:rsidRDefault="00ED797E" w:rsidP="00ED797E">
            <w:pPr>
              <w:rPr>
                <w:sz w:val="16"/>
                <w:szCs w:val="16"/>
                <w:lang w:val="fr-BE"/>
              </w:rPr>
            </w:pPr>
            <w:proofErr w:type="spellStart"/>
            <w:r w:rsidRPr="00ED797E">
              <w:rPr>
                <w:sz w:val="16"/>
                <w:szCs w:val="16"/>
                <w:lang w:val="fr-BE"/>
              </w:rPr>
              <w:t>Hexyl</w:t>
            </w:r>
            <w:proofErr w:type="spellEnd"/>
            <w:r w:rsidRPr="00ED797E">
              <w:rPr>
                <w:sz w:val="16"/>
                <w:szCs w:val="16"/>
                <w:lang w:val="fr-BE"/>
              </w:rPr>
              <w:t xml:space="preserve"> salicylate</w:t>
            </w:r>
          </w:p>
          <w:p w14:paraId="251F144D" w14:textId="1C7AD54C" w:rsidR="00ED797E" w:rsidRPr="00ED797E" w:rsidRDefault="00ED797E" w:rsidP="00ED797E">
            <w:pPr>
              <w:rPr>
                <w:sz w:val="16"/>
                <w:szCs w:val="16"/>
                <w:lang w:val="en-US"/>
              </w:rPr>
            </w:pPr>
          </w:p>
        </w:tc>
        <w:tc>
          <w:tcPr>
            <w:tcW w:w="2740" w:type="dxa"/>
          </w:tcPr>
          <w:p w14:paraId="6A50E29E" w14:textId="77777777" w:rsidR="00ED797E" w:rsidRPr="00ED797E" w:rsidRDefault="00ED797E" w:rsidP="00ED797E">
            <w:pPr>
              <w:rPr>
                <w:sz w:val="16"/>
                <w:szCs w:val="16"/>
                <w:lang w:val="en-US"/>
              </w:rPr>
            </w:pPr>
            <w:r w:rsidRPr="00ED797E">
              <w:rPr>
                <w:sz w:val="16"/>
                <w:szCs w:val="16"/>
                <w:lang w:val="en-US"/>
              </w:rPr>
              <w:t>N° CAS: 6259-76-3</w:t>
            </w:r>
          </w:p>
          <w:p w14:paraId="345A9DD9" w14:textId="3C12C222" w:rsidR="00ED797E" w:rsidRPr="00ED797E" w:rsidRDefault="00ED797E" w:rsidP="00ED797E">
            <w:pPr>
              <w:rPr>
                <w:sz w:val="16"/>
                <w:szCs w:val="16"/>
                <w:lang w:val="en-US"/>
              </w:rPr>
            </w:pPr>
            <w:r w:rsidRPr="00ED797E">
              <w:rPr>
                <w:sz w:val="16"/>
                <w:szCs w:val="16"/>
                <w:lang w:val="en-US"/>
              </w:rPr>
              <w:t>N° CE: 228-408-6</w:t>
            </w:r>
          </w:p>
        </w:tc>
        <w:tc>
          <w:tcPr>
            <w:tcW w:w="1418" w:type="dxa"/>
          </w:tcPr>
          <w:p w14:paraId="13665970" w14:textId="28871943" w:rsidR="00ED797E" w:rsidRPr="00ED797E" w:rsidRDefault="00ED797E" w:rsidP="00F07D40">
            <w:pPr>
              <w:jc w:val="center"/>
              <w:rPr>
                <w:sz w:val="16"/>
                <w:szCs w:val="16"/>
                <w:lang w:val="en-US"/>
              </w:rPr>
            </w:pPr>
            <w:r>
              <w:rPr>
                <w:sz w:val="16"/>
                <w:szCs w:val="16"/>
                <w:lang w:val="en-US"/>
              </w:rPr>
              <w:t>0.0</w:t>
            </w:r>
            <w:r w:rsidR="00CA0659">
              <w:rPr>
                <w:sz w:val="16"/>
                <w:szCs w:val="16"/>
                <w:lang w:val="en-US"/>
              </w:rPr>
              <w:t>49875</w:t>
            </w:r>
            <w:r>
              <w:rPr>
                <w:sz w:val="16"/>
                <w:szCs w:val="16"/>
                <w:lang w:val="en-US"/>
              </w:rPr>
              <w:t>-0.1</w:t>
            </w:r>
            <w:r w:rsidR="00CA0659">
              <w:rPr>
                <w:sz w:val="16"/>
                <w:szCs w:val="16"/>
                <w:lang w:val="en-US"/>
              </w:rPr>
              <w:t>155</w:t>
            </w:r>
          </w:p>
        </w:tc>
        <w:tc>
          <w:tcPr>
            <w:tcW w:w="2976" w:type="dxa"/>
          </w:tcPr>
          <w:p w14:paraId="3AD97298" w14:textId="77777777" w:rsidR="00ED797E" w:rsidRPr="00ED797E" w:rsidRDefault="00ED797E" w:rsidP="00ED797E">
            <w:pPr>
              <w:rPr>
                <w:sz w:val="16"/>
                <w:szCs w:val="16"/>
                <w:lang w:val="fr-BE"/>
              </w:rPr>
            </w:pPr>
            <w:r w:rsidRPr="00ED797E">
              <w:rPr>
                <w:sz w:val="16"/>
                <w:szCs w:val="16"/>
                <w:lang w:val="fr-BE"/>
              </w:rPr>
              <w:t xml:space="preserve">Skin </w:t>
            </w:r>
            <w:proofErr w:type="spellStart"/>
            <w:r w:rsidRPr="00ED797E">
              <w:rPr>
                <w:sz w:val="16"/>
                <w:szCs w:val="16"/>
                <w:lang w:val="fr-BE"/>
              </w:rPr>
              <w:t>Irrit</w:t>
            </w:r>
            <w:proofErr w:type="spellEnd"/>
            <w:r w:rsidRPr="00ED797E">
              <w:rPr>
                <w:sz w:val="16"/>
                <w:szCs w:val="16"/>
                <w:lang w:val="fr-BE"/>
              </w:rPr>
              <w:t xml:space="preserve">. 2, H315 </w:t>
            </w:r>
          </w:p>
          <w:p w14:paraId="430DF40E" w14:textId="77777777" w:rsidR="00ED797E" w:rsidRPr="00ED797E" w:rsidRDefault="00ED797E" w:rsidP="00ED797E">
            <w:pPr>
              <w:rPr>
                <w:sz w:val="16"/>
                <w:szCs w:val="16"/>
                <w:lang w:val="fr-BE"/>
              </w:rPr>
            </w:pPr>
            <w:r w:rsidRPr="00ED797E">
              <w:rPr>
                <w:sz w:val="16"/>
                <w:szCs w:val="16"/>
                <w:lang w:val="fr-BE"/>
              </w:rPr>
              <w:t>Skin Sens. 1, H317</w:t>
            </w:r>
          </w:p>
          <w:p w14:paraId="095897D4" w14:textId="77777777" w:rsidR="00ED797E" w:rsidRPr="00ED797E" w:rsidRDefault="00ED797E" w:rsidP="00ED797E">
            <w:pPr>
              <w:rPr>
                <w:sz w:val="16"/>
                <w:szCs w:val="16"/>
                <w:lang w:val="en-US"/>
              </w:rPr>
            </w:pPr>
            <w:r w:rsidRPr="00ED797E">
              <w:rPr>
                <w:sz w:val="16"/>
                <w:szCs w:val="16"/>
                <w:lang w:val="en-US"/>
              </w:rPr>
              <w:t xml:space="preserve">Aquatic Acute 1, H400 </w:t>
            </w:r>
          </w:p>
          <w:p w14:paraId="5881DBBA" w14:textId="26C55238" w:rsidR="00ED797E" w:rsidRPr="00ED797E" w:rsidRDefault="00ED797E" w:rsidP="00ED797E">
            <w:pPr>
              <w:rPr>
                <w:sz w:val="16"/>
                <w:szCs w:val="16"/>
                <w:lang w:val="en-US"/>
              </w:rPr>
            </w:pPr>
            <w:r w:rsidRPr="00ED797E">
              <w:rPr>
                <w:sz w:val="16"/>
                <w:szCs w:val="16"/>
                <w:lang w:val="en-US"/>
              </w:rPr>
              <w:t>Aquatic Chronic 1, H410</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 xml:space="preserve">protection respiratoire. Ne pas intervenir sans un équipement de protection adapté. Appareil de protection respiratoire </w:t>
            </w:r>
            <w:r w:rsidRPr="00F2702C">
              <w:rPr>
                <w:sz w:val="16"/>
                <w:szCs w:val="16"/>
              </w:rPr>
              <w:lastRenderedPageBreak/>
              <w:t>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lastRenderedPageBreak/>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3897A2EE" w14:textId="77777777" w:rsidR="002A2BA1" w:rsidRPr="002A2BA1" w:rsidRDefault="002A2BA1" w:rsidP="002A2BA1">
      <w:pPr>
        <w:ind w:left="-567"/>
        <w:rPr>
          <w:color w:val="000000" w:themeColor="text1"/>
          <w:sz w:val="16"/>
          <w:szCs w:val="16"/>
        </w:rPr>
      </w:pPr>
      <w:r w:rsidRPr="002A2BA1">
        <w:rPr>
          <w:color w:val="000000" w:themeColor="text1"/>
          <w:sz w:val="16"/>
          <w:szCs w:val="16"/>
        </w:rPr>
        <w:t>Assurer une bonne ventilation du poste de travail.</w:t>
      </w:r>
    </w:p>
    <w:p w14:paraId="11CED234" w14:textId="77777777" w:rsidR="002F7FB7" w:rsidRDefault="002F7FB7" w:rsidP="002A2BA1">
      <w:pPr>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99B761A" w:rsidR="00F30A58" w:rsidRDefault="00127F22" w:rsidP="00B520DF">
            <w:pPr>
              <w:rPr>
                <w:sz w:val="16"/>
                <w:szCs w:val="16"/>
              </w:rPr>
            </w:pPr>
            <w:r>
              <w:rPr>
                <w:sz w:val="16"/>
                <w:szCs w:val="16"/>
              </w:rPr>
              <w:t>:</w:t>
            </w:r>
            <w:r w:rsidR="000E559A">
              <w:rPr>
                <w:sz w:val="16"/>
                <w:szCs w:val="16"/>
              </w:rPr>
              <w:t xml:space="preserve"> </w:t>
            </w:r>
            <w:r w:rsidR="002A2BA1">
              <w:rPr>
                <w:sz w:val="16"/>
                <w:szCs w:val="16"/>
              </w:rPr>
              <w:t>Jaune clair, ambré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563FE352" w:rsidR="00127F22" w:rsidRDefault="00BF765C" w:rsidP="00B520DF">
            <w:pPr>
              <w:rPr>
                <w:sz w:val="16"/>
                <w:szCs w:val="16"/>
              </w:rPr>
            </w:pPr>
            <w:r>
              <w:rPr>
                <w:sz w:val="16"/>
                <w:szCs w:val="16"/>
              </w:rPr>
              <w:t xml:space="preserve">: </w:t>
            </w:r>
            <w:r w:rsidR="00A83EB7" w:rsidRPr="00A83EB7">
              <w:rPr>
                <w:sz w:val="16"/>
                <w:szCs w:val="16"/>
                <w:lang w:val="fr-BE"/>
              </w:rPr>
              <w:t>&gt; 93 °C (coupelle fermée) ASTM D7094</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D265140" w:rsidR="00127F22" w:rsidRDefault="00127F22" w:rsidP="00B520DF">
            <w:pPr>
              <w:rPr>
                <w:sz w:val="16"/>
                <w:szCs w:val="16"/>
              </w:rPr>
            </w:pPr>
            <w:r w:rsidRPr="00127F22">
              <w:rPr>
                <w:sz w:val="16"/>
                <w:szCs w:val="16"/>
              </w:rPr>
              <w:t xml:space="preserve">: </w:t>
            </w:r>
            <w:r w:rsidR="00A83EB7" w:rsidRPr="00A83EB7">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3D2D2F0" w:rsidR="00127F22" w:rsidRDefault="00127F22" w:rsidP="00B520DF">
            <w:pPr>
              <w:rPr>
                <w:sz w:val="16"/>
                <w:szCs w:val="16"/>
              </w:rPr>
            </w:pPr>
            <w:r w:rsidRPr="00127F22">
              <w:rPr>
                <w:sz w:val="16"/>
                <w:szCs w:val="16"/>
              </w:rPr>
              <w:t xml:space="preserve">: </w:t>
            </w:r>
            <w:r w:rsidR="00A83EB7" w:rsidRPr="00A83EB7">
              <w:rPr>
                <w:sz w:val="16"/>
                <w:szCs w:val="16"/>
              </w:rPr>
              <w:t>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48EA6486" w:rsidR="00127F22" w:rsidRDefault="00127F22" w:rsidP="00B520DF">
            <w:pPr>
              <w:rPr>
                <w:sz w:val="16"/>
                <w:szCs w:val="16"/>
              </w:rPr>
            </w:pPr>
            <w:r w:rsidRPr="00127F22">
              <w:rPr>
                <w:sz w:val="16"/>
                <w:szCs w:val="16"/>
              </w:rPr>
              <w:t xml:space="preserve">: </w:t>
            </w:r>
            <w:r w:rsidR="000E559A" w:rsidRPr="000E559A">
              <w:rPr>
                <w:sz w:val="16"/>
                <w:szCs w:val="16"/>
              </w:rPr>
              <w:t xml:space="preserve">≈ </w:t>
            </w:r>
            <w:r w:rsidR="002A2BA1">
              <w:rPr>
                <w:sz w:val="16"/>
                <w:szCs w:val="16"/>
              </w:rPr>
              <w:t>0.9</w:t>
            </w:r>
            <w:r w:rsidR="00A83EB7">
              <w:rPr>
                <w:sz w:val="16"/>
                <w:szCs w:val="16"/>
              </w:rPr>
              <w:t>4</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09AC6490" w14:textId="26A4A714" w:rsidR="00291C6A" w:rsidRDefault="00A83EB7" w:rsidP="00B520DF">
      <w:pPr>
        <w:ind w:left="-567"/>
        <w:rPr>
          <w:sz w:val="16"/>
          <w:szCs w:val="16"/>
        </w:rPr>
      </w:pPr>
      <w:r w:rsidRPr="00A83EB7">
        <w:rPr>
          <w:sz w:val="16"/>
          <w:szCs w:val="16"/>
          <w:lang w:val="fr-BE"/>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A83EB7" w14:paraId="26721447" w14:textId="77777777" w:rsidTr="000E5BC5">
              <w:trPr>
                <w:trHeight w:val="454"/>
              </w:trPr>
              <w:tc>
                <w:tcPr>
                  <w:tcW w:w="9670" w:type="dxa"/>
                  <w:gridSpan w:val="2"/>
                  <w:shd w:val="clear" w:color="auto" w:fill="B6DDE8" w:themeFill="accent5" w:themeFillTint="66"/>
                  <w:vAlign w:val="center"/>
                </w:tcPr>
                <w:p w14:paraId="2C3272FD" w14:textId="2AA9EC87" w:rsidR="000E5BC5" w:rsidRPr="00A83EB7" w:rsidRDefault="00A83EB7" w:rsidP="000E5BC5">
                  <w:pPr>
                    <w:rPr>
                      <w:color w:val="31849B" w:themeColor="accent5" w:themeShade="BF"/>
                      <w:sz w:val="20"/>
                      <w:szCs w:val="20"/>
                      <w:lang w:val="en-US"/>
                    </w:rPr>
                  </w:pPr>
                  <w:r w:rsidRPr="00A83EB7">
                    <w:rPr>
                      <w:b/>
                      <w:color w:val="31849B" w:themeColor="accent5" w:themeShade="BF"/>
                      <w:sz w:val="20"/>
                      <w:szCs w:val="20"/>
                      <w:lang w:val="en-US"/>
                    </w:rPr>
                    <w:t>Hexyl salicylate (6259-76-3)</w:t>
                  </w:r>
                </w:p>
              </w:tc>
            </w:tr>
            <w:tr w:rsidR="000E5BC5" w:rsidRPr="00ED797E"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0527D28B" w:rsidR="000E5BC5" w:rsidRPr="00AB4651" w:rsidRDefault="00A83EB7" w:rsidP="000E5BC5">
                  <w:pPr>
                    <w:rPr>
                      <w:sz w:val="16"/>
                      <w:szCs w:val="16"/>
                      <w:lang w:val="en-US"/>
                    </w:rPr>
                  </w:pPr>
                  <w:r w:rsidRPr="00A83EB7">
                    <w:rPr>
                      <w:sz w:val="16"/>
                      <w:szCs w:val="16"/>
                      <w:lang w:val="en-US"/>
                    </w:rPr>
                    <w:t>&gt; 5 g/kg (Source: NLM_CIP)</w:t>
                  </w:r>
                </w:p>
              </w:tc>
            </w:tr>
            <w:tr w:rsidR="000E5BC5" w14:paraId="676B94C0" w14:textId="77777777" w:rsidTr="000E5BC5">
              <w:trPr>
                <w:trHeight w:val="454"/>
              </w:trPr>
              <w:tc>
                <w:tcPr>
                  <w:tcW w:w="4992" w:type="dxa"/>
                  <w:vAlign w:val="center"/>
                </w:tcPr>
                <w:p w14:paraId="3E55EA74" w14:textId="40D393FE" w:rsidR="000E5BC5" w:rsidRDefault="000E5BC5" w:rsidP="000E5BC5">
                  <w:pPr>
                    <w:rPr>
                      <w:sz w:val="16"/>
                      <w:szCs w:val="16"/>
                    </w:rPr>
                  </w:pPr>
                  <w:r w:rsidRPr="000E5BC5">
                    <w:rPr>
                      <w:sz w:val="16"/>
                      <w:szCs w:val="16"/>
                    </w:rPr>
                    <w:t xml:space="preserve">DL50 </w:t>
                  </w:r>
                  <w:r w:rsidR="00A83EB7">
                    <w:rPr>
                      <w:sz w:val="16"/>
                      <w:szCs w:val="16"/>
                    </w:rPr>
                    <w:t>cutanée lapin</w:t>
                  </w:r>
                  <w:r w:rsidRPr="000E5BC5">
                    <w:rPr>
                      <w:sz w:val="16"/>
                      <w:szCs w:val="16"/>
                    </w:rPr>
                    <w:tab/>
                  </w:r>
                </w:p>
              </w:tc>
              <w:tc>
                <w:tcPr>
                  <w:tcW w:w="4678" w:type="dxa"/>
                  <w:vAlign w:val="center"/>
                </w:tcPr>
                <w:p w14:paraId="01103FC8" w14:textId="10A90FE6" w:rsidR="000E5BC5" w:rsidRDefault="00A83EB7" w:rsidP="000E5BC5">
                  <w:pPr>
                    <w:rPr>
                      <w:sz w:val="16"/>
                      <w:szCs w:val="16"/>
                    </w:rPr>
                  </w:pPr>
                  <w:r w:rsidRPr="00A83EB7">
                    <w:rPr>
                      <w:sz w:val="16"/>
                      <w:szCs w:val="16"/>
                    </w:rPr>
                    <w:t>&gt; 5000 mg/kg (Source: ECHA_API)</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78364087" w:rsidR="00577227" w:rsidRPr="00AB4651" w:rsidRDefault="00A83EB7" w:rsidP="00577227">
                  <w:pPr>
                    <w:rPr>
                      <w:sz w:val="16"/>
                      <w:szCs w:val="16"/>
                    </w:rPr>
                  </w:pPr>
                  <w:proofErr w:type="spellStart"/>
                  <w:r w:rsidRPr="00A83EB7">
                    <w:rPr>
                      <w:b/>
                      <w:color w:val="31849B" w:themeColor="accent5" w:themeShade="BF"/>
                      <w:sz w:val="20"/>
                      <w:szCs w:val="20"/>
                    </w:rPr>
                    <w:t>Linalool</w:t>
                  </w:r>
                  <w:proofErr w:type="spellEnd"/>
                  <w:r w:rsidRPr="00A83EB7">
                    <w:rPr>
                      <w:b/>
                      <w:color w:val="31849B" w:themeColor="accent5" w:themeShade="BF"/>
                      <w:sz w:val="20"/>
                      <w:szCs w:val="20"/>
                    </w:rPr>
                    <w:t xml:space="preserve"> (78-70-6)</w:t>
                  </w:r>
                </w:p>
              </w:tc>
            </w:tr>
            <w:tr w:rsidR="00577227" w:rsidRPr="00577227" w14:paraId="386E0E5E" w14:textId="77777777" w:rsidTr="000E5BC5">
              <w:trPr>
                <w:trHeight w:val="454"/>
              </w:trPr>
              <w:tc>
                <w:tcPr>
                  <w:tcW w:w="4992" w:type="dxa"/>
                  <w:vAlign w:val="center"/>
                </w:tcPr>
                <w:p w14:paraId="7CAC4E72" w14:textId="1245691F" w:rsidR="00577227" w:rsidRPr="000E5BC5" w:rsidRDefault="00577227" w:rsidP="00577227">
                  <w:pPr>
                    <w:rPr>
                      <w:sz w:val="16"/>
                      <w:szCs w:val="16"/>
                    </w:rPr>
                  </w:pPr>
                  <w:r w:rsidRPr="00577227">
                    <w:rPr>
                      <w:sz w:val="16"/>
                      <w:szCs w:val="16"/>
                    </w:rPr>
                    <w:t>DL50 orale</w:t>
                  </w:r>
                </w:p>
              </w:tc>
              <w:tc>
                <w:tcPr>
                  <w:tcW w:w="4678" w:type="dxa"/>
                  <w:vAlign w:val="center"/>
                </w:tcPr>
                <w:p w14:paraId="794A74C1" w14:textId="4133482A" w:rsidR="00577227" w:rsidRPr="00A83EB7" w:rsidRDefault="00A83EB7" w:rsidP="00577227">
                  <w:pPr>
                    <w:rPr>
                      <w:sz w:val="16"/>
                      <w:szCs w:val="16"/>
                      <w:lang w:val="fr-BE"/>
                    </w:rPr>
                  </w:pPr>
                  <w:r w:rsidRPr="00A83EB7">
                    <w:rPr>
                      <w:sz w:val="16"/>
                      <w:szCs w:val="16"/>
                      <w:lang w:val="fr-BE"/>
                    </w:rPr>
                    <w:t>2790 mg/kg de poids corporel</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4509CC00" w:rsidR="00577227" w:rsidRPr="00AB4651" w:rsidRDefault="00A83EB7" w:rsidP="00577227">
                  <w:pPr>
                    <w:rPr>
                      <w:b/>
                      <w:sz w:val="20"/>
                      <w:szCs w:val="20"/>
                      <w:lang w:val="fr-BE"/>
                    </w:rPr>
                  </w:pPr>
                  <w:proofErr w:type="spellStart"/>
                  <w:r w:rsidRPr="00A83EB7">
                    <w:rPr>
                      <w:b/>
                      <w:color w:val="31849B" w:themeColor="accent5" w:themeShade="BF"/>
                      <w:sz w:val="20"/>
                      <w:szCs w:val="20"/>
                    </w:rPr>
                    <w:t>Hexyl</w:t>
                  </w:r>
                  <w:proofErr w:type="spellEnd"/>
                  <w:r w:rsidRPr="00A83EB7">
                    <w:rPr>
                      <w:b/>
                      <w:color w:val="31849B" w:themeColor="accent5" w:themeShade="BF"/>
                      <w:sz w:val="20"/>
                      <w:szCs w:val="20"/>
                    </w:rPr>
                    <w:t xml:space="preserve"> </w:t>
                  </w:r>
                  <w:proofErr w:type="spellStart"/>
                  <w:r w:rsidRPr="00A83EB7">
                    <w:rPr>
                      <w:b/>
                      <w:color w:val="31849B" w:themeColor="accent5" w:themeShade="BF"/>
                      <w:sz w:val="20"/>
                      <w:szCs w:val="20"/>
                    </w:rPr>
                    <w:t>cinnamic</w:t>
                  </w:r>
                  <w:proofErr w:type="spellEnd"/>
                  <w:r w:rsidRPr="00A83EB7">
                    <w:rPr>
                      <w:b/>
                      <w:color w:val="31849B" w:themeColor="accent5" w:themeShade="BF"/>
                      <w:sz w:val="20"/>
                      <w:szCs w:val="20"/>
                    </w:rPr>
                    <w:t xml:space="preserve"> </w:t>
                  </w:r>
                  <w:proofErr w:type="spellStart"/>
                  <w:r w:rsidRPr="00A83EB7">
                    <w:rPr>
                      <w:b/>
                      <w:color w:val="31849B" w:themeColor="accent5" w:themeShade="BF"/>
                      <w:sz w:val="20"/>
                      <w:szCs w:val="20"/>
                    </w:rPr>
                    <w:t>aldehyde</w:t>
                  </w:r>
                  <w:proofErr w:type="spellEnd"/>
                  <w:r w:rsidRPr="00A83EB7">
                    <w:rPr>
                      <w:b/>
                      <w:color w:val="31849B" w:themeColor="accent5" w:themeShade="BF"/>
                      <w:sz w:val="20"/>
                      <w:szCs w:val="20"/>
                    </w:rPr>
                    <w:t xml:space="preserve"> (101-86-0)</w:t>
                  </w:r>
                </w:p>
              </w:tc>
            </w:tr>
            <w:tr w:rsidR="00577227" w:rsidRPr="00A83EB7"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6DEDB105" w:rsidR="00577227" w:rsidRPr="00577227" w:rsidRDefault="00A83EB7" w:rsidP="00577227">
                  <w:pPr>
                    <w:rPr>
                      <w:sz w:val="16"/>
                      <w:szCs w:val="16"/>
                      <w:lang w:val="en-US"/>
                    </w:rPr>
                  </w:pPr>
                  <w:r w:rsidRPr="00A83EB7">
                    <w:rPr>
                      <w:sz w:val="16"/>
                      <w:szCs w:val="16"/>
                      <w:lang w:val="en-US"/>
                    </w:rPr>
                    <w:t>3100 mg/kg (Source: NLM_CIP)</w:t>
                  </w:r>
                </w:p>
              </w:tc>
            </w:tr>
            <w:tr w:rsidR="00A83EB7" w:rsidRPr="00A83EB7" w14:paraId="6766E9BE" w14:textId="77777777" w:rsidTr="000E5BC5">
              <w:trPr>
                <w:trHeight w:val="454"/>
              </w:trPr>
              <w:tc>
                <w:tcPr>
                  <w:tcW w:w="4992" w:type="dxa"/>
                  <w:vAlign w:val="center"/>
                </w:tcPr>
                <w:p w14:paraId="0D0EE24D" w14:textId="4F255840" w:rsidR="00A83EB7" w:rsidRPr="00577227" w:rsidRDefault="00A83EB7" w:rsidP="00577227">
                  <w:pPr>
                    <w:rPr>
                      <w:sz w:val="16"/>
                      <w:szCs w:val="16"/>
                    </w:rPr>
                  </w:pPr>
                  <w:r>
                    <w:rPr>
                      <w:sz w:val="16"/>
                      <w:szCs w:val="16"/>
                    </w:rPr>
                    <w:t>DL50 oral</w:t>
                  </w:r>
                </w:p>
              </w:tc>
              <w:tc>
                <w:tcPr>
                  <w:tcW w:w="4678" w:type="dxa"/>
                  <w:vAlign w:val="center"/>
                </w:tcPr>
                <w:p w14:paraId="0F0C56B4" w14:textId="322853BF" w:rsidR="00A83EB7" w:rsidRPr="00A83EB7" w:rsidRDefault="00A83EB7" w:rsidP="00577227">
                  <w:pPr>
                    <w:rPr>
                      <w:sz w:val="16"/>
                      <w:szCs w:val="16"/>
                      <w:lang w:val="fr-BE"/>
                    </w:rPr>
                  </w:pPr>
                  <w:r w:rsidRPr="00A83EB7">
                    <w:rPr>
                      <w:sz w:val="16"/>
                      <w:szCs w:val="16"/>
                      <w:lang w:val="fr-BE"/>
                    </w:rPr>
                    <w:t>3100 mg/kg de poids corporel</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lastRenderedPageBreak/>
                    <w:t>DL50 cutanée lapin</w:t>
                  </w:r>
                </w:p>
              </w:tc>
              <w:tc>
                <w:tcPr>
                  <w:tcW w:w="4678" w:type="dxa"/>
                  <w:vAlign w:val="center"/>
                </w:tcPr>
                <w:p w14:paraId="54EA8804" w14:textId="2092FC7B" w:rsidR="00577227" w:rsidRPr="00577227" w:rsidRDefault="00A83EB7" w:rsidP="00577227">
                  <w:pPr>
                    <w:rPr>
                      <w:sz w:val="16"/>
                      <w:szCs w:val="16"/>
                      <w:lang w:val="en-US"/>
                    </w:rPr>
                  </w:pPr>
                  <w:r w:rsidRPr="00A83EB7">
                    <w:rPr>
                      <w:sz w:val="16"/>
                      <w:szCs w:val="16"/>
                      <w:lang w:val="en-US"/>
                    </w:rPr>
                    <w:t>&gt; 3000 mg/kg (Source: EPA_HPV)</w:t>
                  </w:r>
                </w:p>
              </w:tc>
            </w:tr>
            <w:tr w:rsidR="00AB4651" w:rsidRPr="00ED797E" w14:paraId="36611A8C" w14:textId="77777777" w:rsidTr="000E5BC5">
              <w:trPr>
                <w:trHeight w:val="454"/>
              </w:trPr>
              <w:tc>
                <w:tcPr>
                  <w:tcW w:w="4992" w:type="dxa"/>
                  <w:vAlign w:val="center"/>
                </w:tcPr>
                <w:p w14:paraId="6639E959" w14:textId="2E68E5B1" w:rsidR="00AB4651" w:rsidRPr="00577227" w:rsidRDefault="00AB4651" w:rsidP="00577227">
                  <w:pPr>
                    <w:rPr>
                      <w:sz w:val="16"/>
                      <w:szCs w:val="16"/>
                    </w:rPr>
                  </w:pPr>
                  <w:r w:rsidRPr="00AB4651">
                    <w:rPr>
                      <w:sz w:val="16"/>
                      <w:szCs w:val="16"/>
                    </w:rPr>
                    <w:t>CL50 Inhalation - Rat</w:t>
                  </w:r>
                </w:p>
              </w:tc>
              <w:tc>
                <w:tcPr>
                  <w:tcW w:w="4678" w:type="dxa"/>
                  <w:vAlign w:val="center"/>
                </w:tcPr>
                <w:p w14:paraId="56B9F10B" w14:textId="58ED0A79" w:rsidR="00AB4651" w:rsidRPr="00AB4651" w:rsidRDefault="00A83EB7" w:rsidP="00577227">
                  <w:pPr>
                    <w:rPr>
                      <w:sz w:val="16"/>
                      <w:szCs w:val="16"/>
                      <w:lang w:val="en-US"/>
                    </w:rPr>
                  </w:pPr>
                  <w:r w:rsidRPr="00A83EB7">
                    <w:rPr>
                      <w:sz w:val="16"/>
                      <w:szCs w:val="16"/>
                      <w:lang w:val="en-US"/>
                    </w:rPr>
                    <w:t>&gt; 5 mg/l/4h</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04EB1997" w:rsidR="00577227" w:rsidRPr="00577227" w:rsidRDefault="00A83EB7" w:rsidP="00577227">
                  <w:pPr>
                    <w:rPr>
                      <w:b/>
                      <w:bCs/>
                      <w:color w:val="31849B" w:themeColor="accent5" w:themeShade="BF"/>
                      <w:sz w:val="20"/>
                      <w:szCs w:val="20"/>
                      <w:lang w:val="en-US"/>
                    </w:rPr>
                  </w:pPr>
                  <w:r w:rsidRPr="00A83EB7">
                    <w:rPr>
                      <w:b/>
                      <w:bCs/>
                      <w:color w:val="31849B" w:themeColor="accent5" w:themeShade="BF"/>
                      <w:sz w:val="20"/>
                      <w:szCs w:val="20"/>
                    </w:rPr>
                    <w:t>Salicylate de benzyle (118-58-1)</w:t>
                  </w:r>
                </w:p>
              </w:tc>
            </w:tr>
            <w:tr w:rsidR="00577227" w:rsidRPr="00ED797E"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2FBA7F6B" w:rsidR="00577227" w:rsidRPr="00577227" w:rsidRDefault="00A83EB7" w:rsidP="00577227">
                  <w:pPr>
                    <w:rPr>
                      <w:sz w:val="16"/>
                      <w:szCs w:val="16"/>
                      <w:lang w:val="en-US"/>
                    </w:rPr>
                  </w:pPr>
                  <w:r w:rsidRPr="00A83EB7">
                    <w:rPr>
                      <w:sz w:val="16"/>
                      <w:szCs w:val="16"/>
                      <w:lang w:val="en-US"/>
                    </w:rPr>
                    <w:t>2227 mg/kg (Source: NLM_CIP)</w:t>
                  </w:r>
                </w:p>
              </w:tc>
            </w:tr>
            <w:tr w:rsidR="00A83EB7" w:rsidRPr="00A83EB7" w14:paraId="67BAEA65" w14:textId="77777777" w:rsidTr="000E5BC5">
              <w:trPr>
                <w:trHeight w:val="454"/>
              </w:trPr>
              <w:tc>
                <w:tcPr>
                  <w:tcW w:w="4992" w:type="dxa"/>
                  <w:vAlign w:val="center"/>
                </w:tcPr>
                <w:p w14:paraId="13EF6EB6" w14:textId="360ED15B" w:rsidR="00A83EB7" w:rsidRPr="00577227" w:rsidRDefault="00A83EB7" w:rsidP="00577227">
                  <w:pPr>
                    <w:rPr>
                      <w:sz w:val="16"/>
                      <w:szCs w:val="16"/>
                    </w:rPr>
                  </w:pPr>
                  <w:r>
                    <w:rPr>
                      <w:sz w:val="16"/>
                      <w:szCs w:val="16"/>
                    </w:rPr>
                    <w:t>DL50 oral</w:t>
                  </w:r>
                </w:p>
              </w:tc>
              <w:tc>
                <w:tcPr>
                  <w:tcW w:w="4678" w:type="dxa"/>
                  <w:vAlign w:val="center"/>
                </w:tcPr>
                <w:p w14:paraId="637702FF" w14:textId="64DF47FA" w:rsidR="00A83EB7" w:rsidRPr="00A83EB7" w:rsidRDefault="00A83EB7" w:rsidP="00577227">
                  <w:pPr>
                    <w:rPr>
                      <w:sz w:val="16"/>
                      <w:szCs w:val="16"/>
                      <w:lang w:val="fr-BE"/>
                    </w:rPr>
                  </w:pPr>
                  <w:r w:rsidRPr="00A83EB7">
                    <w:rPr>
                      <w:sz w:val="16"/>
                      <w:szCs w:val="16"/>
                      <w:lang w:val="fr-BE"/>
                    </w:rPr>
                    <w:t>2200 mg/kg de poids corporel</w:t>
                  </w:r>
                </w:p>
              </w:tc>
            </w:tr>
            <w:tr w:rsidR="00A83EB7" w:rsidRPr="00A83EB7" w14:paraId="344A03F0" w14:textId="77777777" w:rsidTr="000E5BC5">
              <w:trPr>
                <w:trHeight w:val="454"/>
              </w:trPr>
              <w:tc>
                <w:tcPr>
                  <w:tcW w:w="4992" w:type="dxa"/>
                  <w:vAlign w:val="center"/>
                </w:tcPr>
                <w:p w14:paraId="1BBD42CE" w14:textId="3E27606B" w:rsidR="00A83EB7" w:rsidRPr="00577227" w:rsidRDefault="009A683B" w:rsidP="00577227">
                  <w:pPr>
                    <w:rPr>
                      <w:sz w:val="16"/>
                      <w:szCs w:val="16"/>
                    </w:rPr>
                  </w:pPr>
                  <w:r>
                    <w:rPr>
                      <w:sz w:val="16"/>
                      <w:szCs w:val="16"/>
                    </w:rPr>
                    <w:t>DL50 cutanée lapin</w:t>
                  </w:r>
                </w:p>
              </w:tc>
              <w:tc>
                <w:tcPr>
                  <w:tcW w:w="4678" w:type="dxa"/>
                  <w:vAlign w:val="center"/>
                </w:tcPr>
                <w:p w14:paraId="46B8A2CA" w14:textId="2EDD2A0F" w:rsidR="00A83EB7" w:rsidRPr="00A83EB7" w:rsidRDefault="009A683B" w:rsidP="00577227">
                  <w:pPr>
                    <w:rPr>
                      <w:sz w:val="16"/>
                      <w:szCs w:val="16"/>
                      <w:lang w:val="fr-BE"/>
                    </w:rPr>
                  </w:pPr>
                  <w:r w:rsidRPr="009A683B">
                    <w:rPr>
                      <w:sz w:val="16"/>
                      <w:szCs w:val="16"/>
                      <w:lang w:val="fr-BE"/>
                    </w:rPr>
                    <w:t>&gt; 5000 mg/kg (Source: CHEMVIEW)</w:t>
                  </w:r>
                </w:p>
              </w:tc>
            </w:tr>
            <w:tr w:rsidR="00577227" w:rsidRPr="00ED797E" w14:paraId="38DE61A2" w14:textId="77777777" w:rsidTr="00577227">
              <w:trPr>
                <w:trHeight w:val="454"/>
              </w:trPr>
              <w:tc>
                <w:tcPr>
                  <w:tcW w:w="9670" w:type="dxa"/>
                  <w:gridSpan w:val="2"/>
                  <w:shd w:val="clear" w:color="auto" w:fill="B6DDE8" w:themeFill="accent5" w:themeFillTint="66"/>
                  <w:vAlign w:val="center"/>
                </w:tcPr>
                <w:p w14:paraId="418F7DEA" w14:textId="533EC376" w:rsidR="00577227" w:rsidRPr="00AB4651" w:rsidRDefault="00AB4651" w:rsidP="00577227">
                  <w:pPr>
                    <w:rPr>
                      <w:b/>
                      <w:sz w:val="20"/>
                      <w:szCs w:val="20"/>
                      <w:lang w:val="en-US"/>
                    </w:rPr>
                  </w:pPr>
                  <w:r w:rsidRPr="00AB4651">
                    <w:rPr>
                      <w:b/>
                      <w:color w:val="31849B" w:themeColor="accent5" w:themeShade="BF"/>
                      <w:sz w:val="20"/>
                      <w:szCs w:val="20"/>
                      <w:lang w:val="en-US"/>
                    </w:rPr>
                    <w:t>3-(2,2-diméthyl-3-hydroxypropyl)</w:t>
                  </w:r>
                  <w:proofErr w:type="spellStart"/>
                  <w:r w:rsidRPr="00AB4651">
                    <w:rPr>
                      <w:b/>
                      <w:color w:val="31849B" w:themeColor="accent5" w:themeShade="BF"/>
                      <w:sz w:val="20"/>
                      <w:szCs w:val="20"/>
                      <w:lang w:val="en-US"/>
                    </w:rPr>
                    <w:t>toluène</w:t>
                  </w:r>
                  <w:proofErr w:type="spellEnd"/>
                  <w:r w:rsidRPr="00AB4651">
                    <w:rPr>
                      <w:b/>
                      <w:color w:val="31849B" w:themeColor="accent5" w:themeShade="BF"/>
                      <w:sz w:val="20"/>
                      <w:szCs w:val="20"/>
                      <w:lang w:val="en-US"/>
                    </w:rPr>
                    <w:t>; 2,2-diméthyl-3-(3-méthylphényl)propanol (103694-68-4)</w:t>
                  </w:r>
                </w:p>
              </w:tc>
            </w:tr>
            <w:tr w:rsidR="00577227" w:rsidRPr="004C14D2" w14:paraId="67235139" w14:textId="77777777" w:rsidTr="000E5BC5">
              <w:trPr>
                <w:trHeight w:val="454"/>
              </w:trPr>
              <w:tc>
                <w:tcPr>
                  <w:tcW w:w="4992" w:type="dxa"/>
                  <w:vAlign w:val="center"/>
                </w:tcPr>
                <w:p w14:paraId="31378BA5" w14:textId="4A40ACE4" w:rsidR="00577227" w:rsidRPr="000E5BC5" w:rsidRDefault="00577227" w:rsidP="00577227">
                  <w:pPr>
                    <w:rPr>
                      <w:sz w:val="16"/>
                      <w:szCs w:val="16"/>
                    </w:rPr>
                  </w:pPr>
                  <w:r w:rsidRPr="00577227">
                    <w:rPr>
                      <w:sz w:val="16"/>
                      <w:szCs w:val="16"/>
                    </w:rPr>
                    <w:t xml:space="preserve">DL50 orale </w:t>
                  </w:r>
                </w:p>
              </w:tc>
              <w:tc>
                <w:tcPr>
                  <w:tcW w:w="4678" w:type="dxa"/>
                  <w:vAlign w:val="center"/>
                </w:tcPr>
                <w:p w14:paraId="3AF51494" w14:textId="0644310C" w:rsidR="00577227" w:rsidRPr="009A683B" w:rsidRDefault="009A683B" w:rsidP="00577227">
                  <w:pPr>
                    <w:rPr>
                      <w:sz w:val="16"/>
                      <w:szCs w:val="16"/>
                      <w:lang w:val="fr-BE"/>
                    </w:rPr>
                  </w:pPr>
                  <w:r w:rsidRPr="009A683B">
                    <w:rPr>
                      <w:sz w:val="16"/>
                      <w:szCs w:val="16"/>
                      <w:lang w:val="fr-BE"/>
                    </w:rPr>
                    <w:t>3440 mg/kg de poids corporel</w:t>
                  </w:r>
                </w:p>
              </w:tc>
            </w:tr>
            <w:tr w:rsidR="00577227" w:rsidRPr="00577227" w14:paraId="75C886DB" w14:textId="77777777" w:rsidTr="000E5BC5">
              <w:trPr>
                <w:trHeight w:val="454"/>
              </w:trPr>
              <w:tc>
                <w:tcPr>
                  <w:tcW w:w="4992" w:type="dxa"/>
                  <w:vAlign w:val="center"/>
                </w:tcPr>
                <w:p w14:paraId="385E1C59" w14:textId="592AD88A" w:rsidR="00577227" w:rsidRPr="000E5BC5" w:rsidRDefault="00AB4651" w:rsidP="00577227">
                  <w:pPr>
                    <w:rPr>
                      <w:sz w:val="16"/>
                      <w:szCs w:val="16"/>
                    </w:rPr>
                  </w:pPr>
                  <w:r w:rsidRPr="00AB4651">
                    <w:rPr>
                      <w:sz w:val="16"/>
                      <w:szCs w:val="16"/>
                    </w:rPr>
                    <w:t>DL50 cutanée lapin</w:t>
                  </w:r>
                </w:p>
              </w:tc>
              <w:tc>
                <w:tcPr>
                  <w:tcW w:w="4678" w:type="dxa"/>
                  <w:vAlign w:val="center"/>
                </w:tcPr>
                <w:p w14:paraId="0D725236" w14:textId="6DA95CE4" w:rsidR="00577227" w:rsidRPr="00577227" w:rsidRDefault="00AB4651" w:rsidP="00577227">
                  <w:pPr>
                    <w:rPr>
                      <w:sz w:val="16"/>
                      <w:szCs w:val="16"/>
                      <w:lang w:val="fr-BE"/>
                    </w:rPr>
                  </w:pPr>
                  <w:r w:rsidRPr="00AB4651">
                    <w:rPr>
                      <w:sz w:val="16"/>
                      <w:szCs w:val="16"/>
                      <w:lang w:val="fr-BE"/>
                    </w:rPr>
                    <w:t>&gt; 5 ml/kg (Source: ECHA_API)</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0C92757"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w:t>
      </w:r>
      <w:r w:rsidR="009A683B">
        <w:rPr>
          <w:sz w:val="16"/>
          <w:szCs w:val="16"/>
        </w:rPr>
        <w:t xml:space="preserve"> 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49D01290" w:rsidR="00420A15" w:rsidRDefault="00420A15" w:rsidP="00B520DF">
            <w:pPr>
              <w:rPr>
                <w:sz w:val="16"/>
                <w:szCs w:val="16"/>
              </w:rPr>
            </w:pPr>
            <w:r>
              <w:rPr>
                <w:sz w:val="16"/>
                <w:szCs w:val="16"/>
              </w:rPr>
              <w:t xml:space="preserve">: </w:t>
            </w:r>
            <w:r w:rsidR="001930C4">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48C694DE" w:rsidR="00A53721" w:rsidRDefault="00A53721" w:rsidP="00B520DF">
            <w:pPr>
              <w:rPr>
                <w:sz w:val="16"/>
                <w:szCs w:val="16"/>
              </w:rPr>
            </w:pPr>
            <w:r w:rsidRPr="00A53721">
              <w:rPr>
                <w:sz w:val="16"/>
                <w:szCs w:val="16"/>
              </w:rPr>
              <w:t xml:space="preserve">: </w:t>
            </w:r>
            <w:r w:rsidR="001930C4">
              <w:rPr>
                <w:sz w:val="16"/>
                <w:szCs w:val="16"/>
              </w:rPr>
              <w:t>Non classé</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721A603D" w:rsidR="00B54DC4" w:rsidRPr="00B54DC4" w:rsidRDefault="001930C4" w:rsidP="00B520DF">
            <w:pPr>
              <w:rPr>
                <w:sz w:val="20"/>
                <w:szCs w:val="20"/>
              </w:rPr>
            </w:pPr>
            <w:proofErr w:type="spellStart"/>
            <w:r w:rsidRPr="001930C4">
              <w:rPr>
                <w:b/>
                <w:color w:val="007BB8"/>
                <w:sz w:val="20"/>
                <w:szCs w:val="20"/>
              </w:rPr>
              <w:t>Linalool</w:t>
            </w:r>
            <w:proofErr w:type="spellEnd"/>
            <w:r w:rsidRPr="001930C4">
              <w:rPr>
                <w:b/>
                <w:color w:val="007BB8"/>
                <w:sz w:val="20"/>
                <w:szCs w:val="20"/>
              </w:rPr>
              <w:t xml:space="preserve"> (78-70-6)</w:t>
            </w:r>
          </w:p>
        </w:tc>
      </w:tr>
      <w:tr w:rsidR="00B54DC4" w:rsidRPr="004C14D2" w14:paraId="1917B6C2" w14:textId="77777777" w:rsidTr="00B54DC4">
        <w:trPr>
          <w:trHeight w:val="454"/>
        </w:trPr>
        <w:tc>
          <w:tcPr>
            <w:tcW w:w="4531" w:type="dxa"/>
            <w:vAlign w:val="center"/>
          </w:tcPr>
          <w:p w14:paraId="76896A1C" w14:textId="64577CED" w:rsidR="00B54DC4" w:rsidRDefault="001930C4" w:rsidP="00B520DF">
            <w:pPr>
              <w:rPr>
                <w:sz w:val="16"/>
                <w:szCs w:val="16"/>
              </w:rPr>
            </w:pPr>
            <w:r w:rsidRPr="001930C4">
              <w:rPr>
                <w:sz w:val="16"/>
                <w:szCs w:val="16"/>
              </w:rPr>
              <w:t>CE50 96h - Algues [1]</w:t>
            </w:r>
          </w:p>
        </w:tc>
        <w:tc>
          <w:tcPr>
            <w:tcW w:w="4531" w:type="dxa"/>
            <w:vAlign w:val="center"/>
          </w:tcPr>
          <w:p w14:paraId="10B8B580" w14:textId="2A854FAF" w:rsidR="00B54DC4" w:rsidRPr="00B54DC4" w:rsidRDefault="001930C4" w:rsidP="00B520DF">
            <w:pPr>
              <w:rPr>
                <w:sz w:val="16"/>
                <w:szCs w:val="16"/>
                <w:lang w:val="en-US"/>
              </w:rPr>
            </w:pPr>
            <w:r w:rsidRPr="001930C4">
              <w:rPr>
                <w:sz w:val="16"/>
                <w:szCs w:val="16"/>
                <w:lang w:val="en-US"/>
              </w:rPr>
              <w:t xml:space="preserve">88.3 mg/l (Species: </w:t>
            </w:r>
            <w:proofErr w:type="spellStart"/>
            <w:r w:rsidRPr="001930C4">
              <w:rPr>
                <w:sz w:val="16"/>
                <w:szCs w:val="16"/>
                <w:lang w:val="en-US"/>
              </w:rPr>
              <w:t>Desmodesmus</w:t>
            </w:r>
            <w:proofErr w:type="spellEnd"/>
            <w:r w:rsidRPr="001930C4">
              <w:rPr>
                <w:sz w:val="16"/>
                <w:szCs w:val="16"/>
                <w:lang w:val="en-US"/>
              </w:rPr>
              <w:t xml:space="preserve"> </w:t>
            </w:r>
            <w:proofErr w:type="spellStart"/>
            <w:r w:rsidRPr="001930C4">
              <w:rPr>
                <w:sz w:val="16"/>
                <w:szCs w:val="16"/>
                <w:lang w:val="en-US"/>
              </w:rPr>
              <w:t>subspicatus</w:t>
            </w:r>
            <w:proofErr w:type="spellEnd"/>
            <w:r w:rsidRPr="001930C4">
              <w:rPr>
                <w:sz w:val="16"/>
                <w:szCs w:val="16"/>
                <w:lang w:val="en-US"/>
              </w:rPr>
              <w:t>)</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4B54756E" w:rsidR="00B54DC4" w:rsidRPr="00B54DC4" w:rsidRDefault="001930C4" w:rsidP="00B520DF">
            <w:pPr>
              <w:rPr>
                <w:sz w:val="20"/>
                <w:szCs w:val="20"/>
              </w:rPr>
            </w:pPr>
            <w:r w:rsidRPr="001930C4">
              <w:rPr>
                <w:b/>
                <w:color w:val="007BB8"/>
                <w:sz w:val="20"/>
                <w:szCs w:val="20"/>
              </w:rPr>
              <w:lastRenderedPageBreak/>
              <w:t>Salicylate de benzyle (118-58-1)</w:t>
            </w:r>
          </w:p>
        </w:tc>
      </w:tr>
      <w:tr w:rsidR="00B54DC4" w:rsidRPr="00ED797E" w14:paraId="489EC5A7" w14:textId="77777777" w:rsidTr="00B54DC4">
        <w:trPr>
          <w:trHeight w:val="454"/>
        </w:trPr>
        <w:tc>
          <w:tcPr>
            <w:tcW w:w="4531" w:type="dxa"/>
            <w:vAlign w:val="center"/>
          </w:tcPr>
          <w:p w14:paraId="055AEAB5" w14:textId="75908FE9" w:rsidR="00B54DC4" w:rsidRPr="00B54DC4" w:rsidRDefault="00880574" w:rsidP="00B520DF">
            <w:pPr>
              <w:rPr>
                <w:sz w:val="16"/>
                <w:szCs w:val="16"/>
              </w:rPr>
            </w:pPr>
            <w:r w:rsidRPr="00880574">
              <w:rPr>
                <w:sz w:val="16"/>
                <w:szCs w:val="16"/>
              </w:rPr>
              <w:t>CL50 - Poisson [1]</w:t>
            </w:r>
          </w:p>
        </w:tc>
        <w:tc>
          <w:tcPr>
            <w:tcW w:w="4531" w:type="dxa"/>
            <w:vAlign w:val="center"/>
          </w:tcPr>
          <w:p w14:paraId="0BEAC546" w14:textId="1DB91BB0" w:rsidR="00B54DC4" w:rsidRPr="00880574" w:rsidRDefault="001930C4" w:rsidP="00B520DF">
            <w:pPr>
              <w:rPr>
                <w:sz w:val="16"/>
                <w:szCs w:val="16"/>
                <w:lang w:val="en-US"/>
              </w:rPr>
            </w:pPr>
            <w:r w:rsidRPr="001930C4">
              <w:rPr>
                <w:sz w:val="16"/>
                <w:szCs w:val="16"/>
                <w:lang w:val="en-US"/>
              </w:rPr>
              <w:t>1.03 mg/l (Exposure time: 96 h - Species: Danio rerio [semi-static] Source: ECHA)</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660C3BE5" w:rsidR="00E5577D" w:rsidRDefault="001930C4" w:rsidP="00B520DF">
      <w:pPr>
        <w:ind w:left="-567"/>
        <w:rPr>
          <w:sz w:val="16"/>
          <w:szCs w:val="16"/>
        </w:rPr>
      </w:pPr>
      <w:r>
        <w:rPr>
          <w:sz w:val="16"/>
          <w:szCs w:val="16"/>
        </w:rPr>
        <w:t>Non applicable</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rsidRPr="001930C4" w14:paraId="65C82AF4" w14:textId="77777777" w:rsidTr="00E80A2B">
        <w:trPr>
          <w:trHeight w:val="454"/>
        </w:trPr>
        <w:tc>
          <w:tcPr>
            <w:tcW w:w="9062" w:type="dxa"/>
            <w:gridSpan w:val="2"/>
            <w:shd w:val="clear" w:color="auto" w:fill="B6DDE8" w:themeFill="accent5" w:themeFillTint="66"/>
            <w:vAlign w:val="center"/>
          </w:tcPr>
          <w:p w14:paraId="7670F086" w14:textId="1EC58A2B" w:rsidR="00E80A2B" w:rsidRPr="001930C4" w:rsidRDefault="001930C4" w:rsidP="00B520DF">
            <w:pPr>
              <w:rPr>
                <w:b/>
                <w:bCs/>
                <w:sz w:val="20"/>
                <w:szCs w:val="20"/>
                <w:lang w:val="en-US"/>
              </w:rPr>
            </w:pPr>
            <w:bookmarkStart w:id="22" w:name="_Hlk129090018"/>
            <w:r w:rsidRPr="001930C4">
              <w:rPr>
                <w:b/>
                <w:bCs/>
                <w:color w:val="007BB8"/>
                <w:sz w:val="20"/>
                <w:szCs w:val="20"/>
                <w:lang w:val="en-US"/>
              </w:rPr>
              <w:t>Hexyl salicylate (6259-76-3)</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1461FB81" w:rsidR="00E80A2B" w:rsidRDefault="001930C4" w:rsidP="00B520DF">
            <w:pPr>
              <w:rPr>
                <w:sz w:val="16"/>
                <w:szCs w:val="16"/>
              </w:rPr>
            </w:pPr>
            <w:r w:rsidRPr="001930C4">
              <w:rPr>
                <w:sz w:val="16"/>
                <w:szCs w:val="16"/>
              </w:rPr>
              <w:t>5.5 (at 30 °C (at pH 7)</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59DF036C" w:rsidR="00E80A2B" w:rsidRPr="00E80A2B" w:rsidRDefault="001930C4" w:rsidP="00B520DF">
            <w:pPr>
              <w:rPr>
                <w:b/>
                <w:bCs/>
                <w:color w:val="007BB8"/>
                <w:sz w:val="20"/>
                <w:szCs w:val="20"/>
              </w:rPr>
            </w:pPr>
            <w:r w:rsidRPr="001930C4">
              <w:rPr>
                <w:b/>
                <w:bCs/>
                <w:color w:val="007BB8"/>
                <w:sz w:val="20"/>
                <w:szCs w:val="20"/>
              </w:rPr>
              <w:t>Salicylate de benzyle (118-58-1)</w:t>
            </w:r>
          </w:p>
        </w:tc>
      </w:tr>
      <w:tr w:rsidR="001A68F5" w14:paraId="652CF158" w14:textId="77777777" w:rsidTr="00E80A2B">
        <w:trPr>
          <w:trHeight w:val="454"/>
        </w:trPr>
        <w:tc>
          <w:tcPr>
            <w:tcW w:w="4531" w:type="dxa"/>
            <w:vAlign w:val="center"/>
          </w:tcPr>
          <w:p w14:paraId="56CD3074" w14:textId="738290B7"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18C8A9F6" w14:textId="3A52DBC2" w:rsidR="001A68F5" w:rsidRPr="00E80A2B" w:rsidRDefault="001930C4" w:rsidP="00B520DF">
            <w:pPr>
              <w:rPr>
                <w:sz w:val="16"/>
                <w:szCs w:val="16"/>
              </w:rPr>
            </w:pPr>
            <w:r>
              <w:rPr>
                <w:sz w:val="16"/>
                <w:szCs w:val="16"/>
              </w:rPr>
              <w:t>4</w:t>
            </w:r>
          </w:p>
        </w:tc>
      </w:tr>
      <w:tr w:rsidR="001A68F5" w:rsidRPr="001A68F5" w14:paraId="604009CD" w14:textId="77777777" w:rsidTr="001A68F5">
        <w:trPr>
          <w:trHeight w:val="454"/>
        </w:trPr>
        <w:tc>
          <w:tcPr>
            <w:tcW w:w="9062" w:type="dxa"/>
            <w:gridSpan w:val="2"/>
            <w:shd w:val="clear" w:color="auto" w:fill="B6DDE8" w:themeFill="accent5" w:themeFillTint="66"/>
            <w:vAlign w:val="center"/>
          </w:tcPr>
          <w:p w14:paraId="73DF800B" w14:textId="79D19667" w:rsidR="001A68F5" w:rsidRPr="00ED797E" w:rsidRDefault="001A68F5" w:rsidP="00B520DF">
            <w:pPr>
              <w:rPr>
                <w:sz w:val="16"/>
                <w:szCs w:val="16"/>
              </w:rPr>
            </w:pPr>
            <w:r w:rsidRPr="00ED797E">
              <w:rPr>
                <w:rFonts w:eastAsia="Arial MT" w:cs="Arial MT"/>
                <w:b/>
                <w:color w:val="006FC0"/>
                <w:spacing w:val="-2"/>
                <w:sz w:val="18"/>
              </w:rPr>
              <w:t>3-(2,2-diméthyl-3-hydroxypropyl)toluène;</w:t>
            </w:r>
            <w:r w:rsidRPr="00ED797E">
              <w:rPr>
                <w:rFonts w:eastAsia="Arial MT" w:cs="Arial MT"/>
                <w:b/>
                <w:color w:val="006FC0"/>
                <w:spacing w:val="69"/>
                <w:sz w:val="18"/>
              </w:rPr>
              <w:t xml:space="preserve"> </w:t>
            </w:r>
            <w:r w:rsidRPr="00ED797E">
              <w:rPr>
                <w:rFonts w:eastAsia="Arial MT" w:cs="Arial MT"/>
                <w:b/>
                <w:color w:val="006FC0"/>
                <w:spacing w:val="-2"/>
                <w:sz w:val="18"/>
              </w:rPr>
              <w:t>2,2-diméthyl-3-(3-méthylphényl)</w:t>
            </w:r>
            <w:proofErr w:type="spellStart"/>
            <w:r w:rsidRPr="00ED797E">
              <w:rPr>
                <w:rFonts w:eastAsia="Arial MT" w:cs="Arial MT"/>
                <w:b/>
                <w:color w:val="006FC0"/>
                <w:spacing w:val="-2"/>
                <w:sz w:val="18"/>
              </w:rPr>
              <w:t>propanol</w:t>
            </w:r>
            <w:proofErr w:type="spellEnd"/>
            <w:r w:rsidRPr="00ED797E">
              <w:rPr>
                <w:rFonts w:eastAsia="Arial MT" w:cs="Arial MT"/>
                <w:b/>
                <w:color w:val="006FC0"/>
                <w:spacing w:val="74"/>
                <w:sz w:val="18"/>
              </w:rPr>
              <w:t xml:space="preserve"> </w:t>
            </w:r>
            <w:r w:rsidRPr="00ED797E">
              <w:rPr>
                <w:rFonts w:eastAsia="Arial MT" w:cs="Arial MT"/>
                <w:b/>
                <w:color w:val="006FC0"/>
                <w:spacing w:val="-2"/>
                <w:sz w:val="18"/>
              </w:rPr>
              <w:t>(103694-68-</w:t>
            </w:r>
            <w:r w:rsidRPr="00ED797E">
              <w:rPr>
                <w:rFonts w:eastAsia="Arial MT" w:cs="Arial MT"/>
                <w:b/>
                <w:color w:val="006FC0"/>
                <w:spacing w:val="-5"/>
                <w:sz w:val="18"/>
              </w:rPr>
              <w:t>4)</w:t>
            </w:r>
          </w:p>
        </w:tc>
      </w:tr>
      <w:tr w:rsidR="001A68F5" w:rsidRPr="001A68F5" w14:paraId="49A5ED07" w14:textId="77777777" w:rsidTr="00E80A2B">
        <w:trPr>
          <w:trHeight w:val="454"/>
        </w:trPr>
        <w:tc>
          <w:tcPr>
            <w:tcW w:w="4531" w:type="dxa"/>
            <w:vAlign w:val="center"/>
          </w:tcPr>
          <w:p w14:paraId="532C34BB" w14:textId="77E7A7FF" w:rsidR="001A68F5" w:rsidRPr="001A68F5" w:rsidRDefault="001A68F5" w:rsidP="00B520DF">
            <w:pPr>
              <w:rPr>
                <w:sz w:val="16"/>
                <w:szCs w:val="16"/>
                <w:lang w:val="fr-BE"/>
              </w:rPr>
            </w:pPr>
            <w:r w:rsidRPr="001A68F5">
              <w:rPr>
                <w:sz w:val="16"/>
                <w:szCs w:val="16"/>
                <w:lang w:val="fr-BE"/>
              </w:rPr>
              <w:t>Coefficient de partage n-octanol/eau (Log Pow)</w:t>
            </w:r>
          </w:p>
        </w:tc>
        <w:tc>
          <w:tcPr>
            <w:tcW w:w="4531" w:type="dxa"/>
            <w:vAlign w:val="center"/>
          </w:tcPr>
          <w:p w14:paraId="61EFDAB3" w14:textId="409C7AEF" w:rsidR="001A68F5" w:rsidRPr="001A68F5" w:rsidRDefault="001A68F5" w:rsidP="00B520DF">
            <w:pPr>
              <w:rPr>
                <w:sz w:val="16"/>
                <w:szCs w:val="16"/>
                <w:lang w:val="fr-BE"/>
              </w:rPr>
            </w:pPr>
            <w:r w:rsidRPr="001A68F5">
              <w:rPr>
                <w:sz w:val="16"/>
                <w:szCs w:val="16"/>
                <w:lang w:val="fr-BE"/>
              </w:rPr>
              <w:t>3.07 (at 20 °C)</w:t>
            </w:r>
          </w:p>
        </w:tc>
      </w:tr>
    </w:tbl>
    <w:p w14:paraId="7B60DC0D" w14:textId="0F264FB8" w:rsidR="00E5577D" w:rsidRPr="001A68F5" w:rsidRDefault="00E5577D" w:rsidP="00B520DF">
      <w:pPr>
        <w:ind w:left="-567"/>
        <w:rPr>
          <w:sz w:val="16"/>
          <w:szCs w:val="16"/>
          <w:lang w:val="fr-BE"/>
        </w:rPr>
      </w:pPr>
    </w:p>
    <w:bookmarkEnd w:id="22"/>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34420280" w:rsidR="00E5577D" w:rsidRPr="00E5577D" w:rsidRDefault="00422F84" w:rsidP="00E5577D">
      <w:pPr>
        <w:ind w:left="-567"/>
        <w:rPr>
          <w:sz w:val="16"/>
          <w:szCs w:val="16"/>
        </w:rPr>
      </w:pPr>
      <w:r>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46A85AE" w:rsidR="00AE2DF0" w:rsidRPr="00EE02F2" w:rsidRDefault="006556F2" w:rsidP="00EE02F2">
      <w:pPr>
        <w:ind w:left="-567"/>
        <w:rPr>
          <w:sz w:val="16"/>
          <w:szCs w:val="16"/>
        </w:rPr>
      </w:pPr>
      <w:r>
        <w:rPr>
          <w:sz w:val="16"/>
          <w:szCs w:val="16"/>
        </w:rPr>
        <w:t xml:space="preserve">WGK : </w:t>
      </w:r>
      <w:r w:rsidR="00422F84">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B4D2607" w14:textId="3EFD0AE3" w:rsidR="00454961" w:rsidRPr="00454961" w:rsidRDefault="00422F84" w:rsidP="00454961">
            <w:pPr>
              <w:spacing w:before="57" w:line="288" w:lineRule="auto"/>
              <w:ind w:left="56" w:right="18"/>
              <w:rPr>
                <w:bCs/>
                <w:sz w:val="16"/>
                <w:szCs w:val="16"/>
                <w:lang w:val="en-US"/>
              </w:rPr>
            </w:pPr>
            <w:r>
              <w:rPr>
                <w:bCs/>
                <w:sz w:val="16"/>
                <w:szCs w:val="16"/>
                <w:lang w:val="en-US"/>
              </w:rPr>
              <w:t>FREESIA BEL138</w:t>
            </w:r>
            <w:r w:rsidR="00454961" w:rsidRPr="00454961">
              <w:rPr>
                <w:bCs/>
                <w:sz w:val="16"/>
                <w:szCs w:val="16"/>
                <w:lang w:val="en-US"/>
              </w:rPr>
              <w:t>;</w:t>
            </w:r>
          </w:p>
          <w:p w14:paraId="7DB93445"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Hexyl salicylate ;</w:t>
            </w:r>
          </w:p>
          <w:p w14:paraId="451732CD"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Linalool ; Hexyl cinnamic</w:t>
            </w:r>
          </w:p>
          <w:p w14:paraId="2604C681"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aldehyde ; Salicylate de</w:t>
            </w:r>
          </w:p>
          <w:p w14:paraId="20400926" w14:textId="77777777" w:rsidR="00422F84" w:rsidRPr="00422F84" w:rsidRDefault="00422F84" w:rsidP="00422F84">
            <w:pPr>
              <w:spacing w:before="57" w:line="288" w:lineRule="auto"/>
              <w:ind w:left="56" w:right="18"/>
              <w:rPr>
                <w:bCs/>
                <w:color w:val="000000" w:themeColor="text1"/>
                <w:sz w:val="16"/>
                <w:szCs w:val="16"/>
                <w:lang w:val="en-US"/>
              </w:rPr>
            </w:pPr>
            <w:proofErr w:type="spellStart"/>
            <w:r w:rsidRPr="00422F84">
              <w:rPr>
                <w:bCs/>
                <w:color w:val="000000" w:themeColor="text1"/>
                <w:sz w:val="16"/>
                <w:szCs w:val="16"/>
                <w:lang w:val="en-US"/>
              </w:rPr>
              <w:t>benzyle</w:t>
            </w:r>
            <w:proofErr w:type="spellEnd"/>
            <w:r w:rsidRPr="00422F84">
              <w:rPr>
                <w:bCs/>
                <w:color w:val="000000" w:themeColor="text1"/>
                <w:sz w:val="16"/>
                <w:szCs w:val="16"/>
                <w:lang w:val="en-US"/>
              </w:rPr>
              <w:t xml:space="preserve"> ; 3-(2,2-diméthyl-</w:t>
            </w:r>
          </w:p>
          <w:p w14:paraId="53ABB8D1"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3-hydroxypropyl)</w:t>
            </w:r>
            <w:proofErr w:type="spellStart"/>
            <w:r w:rsidRPr="00422F84">
              <w:rPr>
                <w:bCs/>
                <w:color w:val="000000" w:themeColor="text1"/>
                <w:sz w:val="16"/>
                <w:szCs w:val="16"/>
                <w:lang w:val="en-US"/>
              </w:rPr>
              <w:t>toluène</w:t>
            </w:r>
            <w:proofErr w:type="spellEnd"/>
            <w:r w:rsidRPr="00422F84">
              <w:rPr>
                <w:bCs/>
                <w:color w:val="000000" w:themeColor="text1"/>
                <w:sz w:val="16"/>
                <w:szCs w:val="16"/>
                <w:lang w:val="en-US"/>
              </w:rPr>
              <w:t>;</w:t>
            </w:r>
          </w:p>
          <w:p w14:paraId="7DDE04BC"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2,2-diméthyl-3-(3-</w:t>
            </w:r>
          </w:p>
          <w:p w14:paraId="034B6987" w14:textId="4968A632" w:rsidR="00167055" w:rsidRPr="00422F84" w:rsidRDefault="00422F84" w:rsidP="00422F84">
            <w:pPr>
              <w:spacing w:before="57" w:line="288" w:lineRule="auto"/>
              <w:ind w:left="56" w:right="18"/>
              <w:rPr>
                <w:b/>
                <w:color w:val="0070C0"/>
                <w:sz w:val="16"/>
                <w:szCs w:val="16"/>
                <w:lang w:val="en-US"/>
              </w:rPr>
            </w:pPr>
            <w:proofErr w:type="spellStart"/>
            <w:r w:rsidRPr="00422F84">
              <w:rPr>
                <w:bCs/>
                <w:color w:val="000000" w:themeColor="text1"/>
                <w:sz w:val="16"/>
                <w:szCs w:val="16"/>
                <w:lang w:val="en-US"/>
              </w:rPr>
              <w:t>méthylphényl</w:t>
            </w:r>
            <w:proofErr w:type="spellEnd"/>
            <w:r w:rsidRPr="00422F84">
              <w:rPr>
                <w:bCs/>
                <w:color w:val="000000" w:themeColor="text1"/>
                <w:sz w:val="16"/>
                <w:szCs w:val="16"/>
                <w:lang w:val="en-US"/>
              </w:rPr>
              <w:t>)propanol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6F5EAFE" w14:textId="7F0F6EAD" w:rsidR="00454961" w:rsidRPr="00454961" w:rsidRDefault="00422F84" w:rsidP="00454961">
            <w:pPr>
              <w:spacing w:before="57" w:line="288" w:lineRule="auto"/>
              <w:ind w:left="56" w:right="18"/>
              <w:rPr>
                <w:sz w:val="16"/>
                <w:lang w:val="en-US"/>
              </w:rPr>
            </w:pPr>
            <w:r>
              <w:rPr>
                <w:sz w:val="16"/>
                <w:lang w:val="en-US"/>
              </w:rPr>
              <w:t>FREESIA</w:t>
            </w:r>
            <w:r w:rsidR="00454961" w:rsidRPr="00454961">
              <w:rPr>
                <w:sz w:val="16"/>
                <w:lang w:val="en-US"/>
              </w:rPr>
              <w:t xml:space="preserve"> BEL13</w:t>
            </w:r>
            <w:r>
              <w:rPr>
                <w:sz w:val="16"/>
                <w:lang w:val="en-US"/>
              </w:rPr>
              <w:t>8</w:t>
            </w:r>
            <w:r w:rsidR="00454961" w:rsidRPr="00454961">
              <w:rPr>
                <w:sz w:val="16"/>
                <w:lang w:val="en-US"/>
              </w:rPr>
              <w:t xml:space="preserve"> ;</w:t>
            </w:r>
          </w:p>
          <w:p w14:paraId="7E390326" w14:textId="1E19EDB5" w:rsidR="00422F84" w:rsidRPr="00422F84" w:rsidRDefault="00422F84" w:rsidP="00422F84">
            <w:pPr>
              <w:spacing w:before="57" w:line="288" w:lineRule="auto"/>
              <w:ind w:left="56" w:right="18"/>
              <w:rPr>
                <w:sz w:val="16"/>
                <w:lang w:val="fr-BE"/>
              </w:rPr>
            </w:pPr>
            <w:proofErr w:type="spellStart"/>
            <w:r w:rsidRPr="00422F84">
              <w:rPr>
                <w:sz w:val="16"/>
                <w:lang w:val="fr-BE"/>
              </w:rPr>
              <w:t>Hexyl</w:t>
            </w:r>
            <w:proofErr w:type="spellEnd"/>
            <w:r w:rsidRPr="00422F84">
              <w:rPr>
                <w:sz w:val="16"/>
                <w:lang w:val="fr-BE"/>
              </w:rPr>
              <w:t xml:space="preserve"> </w:t>
            </w:r>
            <w:r w:rsidRPr="00422F84">
              <w:rPr>
                <w:sz w:val="16"/>
                <w:lang w:val="fr-BE"/>
              </w:rPr>
              <w:t xml:space="preserve">salicylate ; </w:t>
            </w:r>
            <w:proofErr w:type="spellStart"/>
            <w:r w:rsidRPr="00422F84">
              <w:rPr>
                <w:sz w:val="16"/>
                <w:lang w:val="fr-BE"/>
              </w:rPr>
              <w:t>Hexyl</w:t>
            </w:r>
            <w:proofErr w:type="spellEnd"/>
            <w:r w:rsidRPr="00422F84">
              <w:rPr>
                <w:sz w:val="16"/>
                <w:lang w:val="fr-BE"/>
              </w:rPr>
              <w:t xml:space="preserve"> </w:t>
            </w:r>
            <w:proofErr w:type="spellStart"/>
            <w:r w:rsidRPr="00422F84">
              <w:rPr>
                <w:sz w:val="16"/>
                <w:lang w:val="fr-BE"/>
              </w:rPr>
              <w:t>cinnami</w:t>
            </w:r>
            <w:proofErr w:type="spellEnd"/>
            <w:r w:rsidRPr="00422F84">
              <w:rPr>
                <w:sz w:val="16"/>
                <w:lang w:val="fr-BE"/>
              </w:rPr>
              <w:t xml:space="preserve"> </w:t>
            </w:r>
            <w:proofErr w:type="spellStart"/>
            <w:r w:rsidRPr="00422F84">
              <w:rPr>
                <w:sz w:val="16"/>
                <w:lang w:val="fr-BE"/>
              </w:rPr>
              <w:t>aldehyde</w:t>
            </w:r>
            <w:proofErr w:type="spellEnd"/>
            <w:r w:rsidRPr="00422F84">
              <w:rPr>
                <w:sz w:val="16"/>
                <w:lang w:val="fr-BE"/>
              </w:rPr>
              <w:t xml:space="preserve"> ; Salicylate de</w:t>
            </w:r>
          </w:p>
          <w:p w14:paraId="233BC622" w14:textId="24BD5055" w:rsidR="00422F84" w:rsidRPr="00422F84" w:rsidRDefault="00422F84" w:rsidP="00422F84">
            <w:pPr>
              <w:spacing w:before="57" w:line="288" w:lineRule="auto"/>
              <w:ind w:left="56" w:right="18"/>
              <w:rPr>
                <w:sz w:val="16"/>
                <w:lang w:val="fr-BE"/>
              </w:rPr>
            </w:pPr>
            <w:r w:rsidRPr="00422F84">
              <w:rPr>
                <w:sz w:val="16"/>
                <w:lang w:val="fr-BE"/>
              </w:rPr>
              <w:t>benzyle ;3-(2,2-diméthyl-3-</w:t>
            </w:r>
          </w:p>
          <w:p w14:paraId="472CDEB1" w14:textId="77777777" w:rsidR="00422F84" w:rsidRPr="00422F84" w:rsidRDefault="00422F84" w:rsidP="00422F84">
            <w:pPr>
              <w:spacing w:before="57" w:line="288" w:lineRule="auto"/>
              <w:ind w:left="56" w:right="18"/>
              <w:rPr>
                <w:sz w:val="16"/>
                <w:lang w:val="fr-BE"/>
              </w:rPr>
            </w:pPr>
            <w:proofErr w:type="spellStart"/>
            <w:r w:rsidRPr="00422F84">
              <w:rPr>
                <w:sz w:val="16"/>
                <w:lang w:val="fr-BE"/>
              </w:rPr>
              <w:t>hydroxypropyl</w:t>
            </w:r>
            <w:proofErr w:type="spellEnd"/>
            <w:r w:rsidRPr="00422F84">
              <w:rPr>
                <w:sz w:val="16"/>
                <w:lang w:val="fr-BE"/>
              </w:rPr>
              <w:t>)toluène;</w:t>
            </w:r>
          </w:p>
          <w:p w14:paraId="1F680C10" w14:textId="77777777" w:rsidR="00422F84" w:rsidRPr="00422F84" w:rsidRDefault="00422F84" w:rsidP="00422F84">
            <w:pPr>
              <w:spacing w:before="57" w:line="288" w:lineRule="auto"/>
              <w:ind w:left="56" w:right="18"/>
              <w:rPr>
                <w:sz w:val="16"/>
                <w:lang w:val="fr-BE"/>
              </w:rPr>
            </w:pPr>
            <w:r w:rsidRPr="00422F84">
              <w:rPr>
                <w:sz w:val="16"/>
                <w:lang w:val="fr-BE"/>
              </w:rPr>
              <w:t>2,2-diméthyl-3-(3-</w:t>
            </w:r>
          </w:p>
          <w:p w14:paraId="656711DD" w14:textId="75A37A88" w:rsidR="00E316A5" w:rsidRPr="00422F84" w:rsidRDefault="00422F84" w:rsidP="00422F84">
            <w:pPr>
              <w:spacing w:before="57" w:line="288" w:lineRule="auto"/>
              <w:ind w:left="56" w:right="18"/>
              <w:rPr>
                <w:sz w:val="16"/>
                <w:lang w:val="fr-BE"/>
              </w:rPr>
            </w:pPr>
            <w:proofErr w:type="spellStart"/>
            <w:r w:rsidRPr="00422F84">
              <w:rPr>
                <w:sz w:val="16"/>
                <w:lang w:val="fr-BE"/>
              </w:rPr>
              <w:t>méthylphényl</w:t>
            </w:r>
            <w:proofErr w:type="spellEnd"/>
            <w:r w:rsidRPr="00422F84">
              <w:rPr>
                <w:sz w:val="16"/>
                <w:lang w:val="fr-BE"/>
              </w:rPr>
              <w:t>)</w:t>
            </w:r>
            <w:proofErr w:type="spellStart"/>
            <w:r w:rsidRPr="00422F84">
              <w:rPr>
                <w:sz w:val="16"/>
                <w:lang w:val="fr-BE"/>
              </w:rPr>
              <w:t>propanol</w:t>
            </w:r>
            <w:proofErr w:type="spellEnd"/>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lastRenderedPageBreak/>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62B5" w14:textId="77777777" w:rsidR="006847C1" w:rsidRDefault="006847C1" w:rsidP="001F4281">
      <w:r>
        <w:separator/>
      </w:r>
    </w:p>
  </w:endnote>
  <w:endnote w:type="continuationSeparator" w:id="0">
    <w:p w14:paraId="6D59B367" w14:textId="77777777" w:rsidR="006847C1" w:rsidRDefault="006847C1"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049F3BD2"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w:t>
    </w:r>
    <w:r w:rsidR="00A34969">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FBC8" w14:textId="77777777" w:rsidR="006847C1" w:rsidRDefault="006847C1" w:rsidP="001F4281">
      <w:r>
        <w:separator/>
      </w:r>
    </w:p>
  </w:footnote>
  <w:footnote w:type="continuationSeparator" w:id="0">
    <w:p w14:paraId="173F1AC4" w14:textId="77777777" w:rsidR="006847C1" w:rsidRDefault="006847C1"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20D0114" w:rsidR="00461CD7" w:rsidRDefault="003011F5" w:rsidP="00461CD7">
    <w:pPr>
      <w:pStyle w:val="En-tte"/>
      <w:jc w:val="right"/>
      <w:rPr>
        <w:b/>
        <w:bCs/>
        <w:sz w:val="32"/>
        <w:szCs w:val="32"/>
      </w:rPr>
    </w:pPr>
    <w:r>
      <w:rPr>
        <w:b/>
        <w:bCs/>
        <w:sz w:val="16"/>
        <w:szCs w:val="16"/>
      </w:rPr>
      <w:t>1</w:t>
    </w:r>
    <w:r w:rsidR="00ED797E">
      <w:rPr>
        <w:b/>
        <w:bCs/>
        <w:sz w:val="16"/>
        <w:szCs w:val="16"/>
      </w:rPr>
      <w:t>5</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24816286" w:rsidR="001F4281" w:rsidRPr="001F4281" w:rsidRDefault="00ED797E" w:rsidP="00461CD7">
    <w:pPr>
      <w:pStyle w:val="En-tte"/>
      <w:jc w:val="center"/>
      <w:rPr>
        <w:b/>
        <w:bCs/>
        <w:sz w:val="32"/>
        <w:szCs w:val="32"/>
      </w:rPr>
    </w:pPr>
    <w:r>
      <w:rPr>
        <w:b/>
        <w:bCs/>
        <w:sz w:val="32"/>
        <w:szCs w:val="32"/>
      </w:rPr>
      <w:t>FREESIA</w:t>
    </w:r>
    <w:r w:rsidR="001F4281" w:rsidRPr="001F4281">
      <w:rPr>
        <w:b/>
        <w:bCs/>
        <w:sz w:val="32"/>
        <w:szCs w:val="32"/>
      </w:rPr>
      <w:t xml:space="preserve"> </w:t>
    </w:r>
    <w:r w:rsidR="00CE6008">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3B2C"/>
    <w:rsid w:val="000E559A"/>
    <w:rsid w:val="000E5BC5"/>
    <w:rsid w:val="001018D9"/>
    <w:rsid w:val="00104FD0"/>
    <w:rsid w:val="00106C05"/>
    <w:rsid w:val="00123E65"/>
    <w:rsid w:val="00124124"/>
    <w:rsid w:val="00127F22"/>
    <w:rsid w:val="00154FF6"/>
    <w:rsid w:val="00167055"/>
    <w:rsid w:val="001925DB"/>
    <w:rsid w:val="001930C4"/>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EE"/>
    <w:rsid w:val="00420A15"/>
    <w:rsid w:val="00420E79"/>
    <w:rsid w:val="00422F84"/>
    <w:rsid w:val="0042354B"/>
    <w:rsid w:val="00443223"/>
    <w:rsid w:val="00454961"/>
    <w:rsid w:val="00461CD7"/>
    <w:rsid w:val="00465767"/>
    <w:rsid w:val="004911E6"/>
    <w:rsid w:val="004916E5"/>
    <w:rsid w:val="004C14D2"/>
    <w:rsid w:val="004D1C37"/>
    <w:rsid w:val="00505EEE"/>
    <w:rsid w:val="005508F1"/>
    <w:rsid w:val="00577227"/>
    <w:rsid w:val="005F43FC"/>
    <w:rsid w:val="00615C75"/>
    <w:rsid w:val="00617A26"/>
    <w:rsid w:val="00646908"/>
    <w:rsid w:val="00650E52"/>
    <w:rsid w:val="006556F2"/>
    <w:rsid w:val="00656E5C"/>
    <w:rsid w:val="006847C1"/>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16CD4"/>
    <w:rsid w:val="008467B7"/>
    <w:rsid w:val="00855434"/>
    <w:rsid w:val="00862A4C"/>
    <w:rsid w:val="00880574"/>
    <w:rsid w:val="008B4843"/>
    <w:rsid w:val="008B52EC"/>
    <w:rsid w:val="008E5D39"/>
    <w:rsid w:val="00900823"/>
    <w:rsid w:val="0099787B"/>
    <w:rsid w:val="009A683B"/>
    <w:rsid w:val="009C5D8C"/>
    <w:rsid w:val="00A07794"/>
    <w:rsid w:val="00A34969"/>
    <w:rsid w:val="00A53721"/>
    <w:rsid w:val="00A567DE"/>
    <w:rsid w:val="00A618B4"/>
    <w:rsid w:val="00A80055"/>
    <w:rsid w:val="00A80DFC"/>
    <w:rsid w:val="00A83EB7"/>
    <w:rsid w:val="00A843A4"/>
    <w:rsid w:val="00A919F5"/>
    <w:rsid w:val="00A93C08"/>
    <w:rsid w:val="00AA59BA"/>
    <w:rsid w:val="00AB2282"/>
    <w:rsid w:val="00AB4651"/>
    <w:rsid w:val="00AE2DF0"/>
    <w:rsid w:val="00AF0FB9"/>
    <w:rsid w:val="00B40C2E"/>
    <w:rsid w:val="00B44DF3"/>
    <w:rsid w:val="00B520DF"/>
    <w:rsid w:val="00B536C0"/>
    <w:rsid w:val="00B54DC4"/>
    <w:rsid w:val="00B92598"/>
    <w:rsid w:val="00B97735"/>
    <w:rsid w:val="00BA25D7"/>
    <w:rsid w:val="00BF765C"/>
    <w:rsid w:val="00C20DF9"/>
    <w:rsid w:val="00C27727"/>
    <w:rsid w:val="00C41CCD"/>
    <w:rsid w:val="00C731C4"/>
    <w:rsid w:val="00C954E1"/>
    <w:rsid w:val="00CA0659"/>
    <w:rsid w:val="00CB4E4B"/>
    <w:rsid w:val="00CD3AA0"/>
    <w:rsid w:val="00CE6008"/>
    <w:rsid w:val="00D04326"/>
    <w:rsid w:val="00D26B22"/>
    <w:rsid w:val="00D339FF"/>
    <w:rsid w:val="00DA1415"/>
    <w:rsid w:val="00DC16F2"/>
    <w:rsid w:val="00E02F4D"/>
    <w:rsid w:val="00E04817"/>
    <w:rsid w:val="00E04C36"/>
    <w:rsid w:val="00E316A5"/>
    <w:rsid w:val="00E42A6D"/>
    <w:rsid w:val="00E52612"/>
    <w:rsid w:val="00E5577D"/>
    <w:rsid w:val="00E80564"/>
    <w:rsid w:val="00E80A2B"/>
    <w:rsid w:val="00EB5287"/>
    <w:rsid w:val="00EC15DD"/>
    <w:rsid w:val="00ED797E"/>
    <w:rsid w:val="00EE02F2"/>
    <w:rsid w:val="00EE23C2"/>
    <w:rsid w:val="00EF13E7"/>
    <w:rsid w:val="00F0235E"/>
    <w:rsid w:val="00F07D4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3083</Words>
  <Characters>16961</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2026-04-15T08:04:00Z</dcterms:created>
  <dcterms:modified xsi:type="dcterms:W3CDTF">2026-04-15T08:10:00Z</dcterms:modified>
</cp:coreProperties>
</file>